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5.png" ContentType="image/png"/>
  <Override PartName="/word/media/rId43.png" ContentType="image/png"/>
  <Override PartName="/word/media/rId33.png" ContentType="image/png"/>
  <Override PartName="/word/media/rId39.png" ContentType="image/png"/>
  <Override PartName="/word/media/rId89.png" ContentType="image/png"/>
  <Override PartName="/word/media/rId170.png" ContentType="image/png"/>
  <Override PartName="/word/media/rId169.png" ContentType="image/png"/>
  <Override PartName="/word/media/rId181.png" ContentType="image/png"/>
  <Override PartName="/word/media/rId166.png" ContentType="image/png"/>
  <Override PartName="/word/media/rId165.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61.png" ContentType="image/png"/>
  <Override PartName="/word/media/rId118.png" ContentType="image/png"/>
  <Override PartName="/word/media/rId115.png" ContentType="image/png"/>
  <Override PartName="/word/media/rId113.png" ContentType="image/png"/>
  <Override PartName="/word/media/rId171.png" ContentType="image/png"/>
  <Override PartName="/word/media/rId108.png" ContentType="image/png"/>
  <Override PartName="/word/media/rId111.png" ContentType="image/png"/>
  <Override PartName="/word/media/rId104.png" ContentType="image/png"/>
  <Override PartName="/word/media/rId106.png" ContentType="image/png"/>
  <Override PartName="/word/media/rId96.png" ContentType="image/png"/>
  <Override PartName="/word/media/rId100.png" ContentType="image/png"/>
  <Override PartName="/word/media/rId98.png" ContentType="image/png"/>
  <Override PartName="/word/media/rId121.png" ContentType="image/png"/>
  <Override PartName="/word/media/rId124.png" ContentType="image/png"/>
  <Override PartName="/word/media/rId123.png" ContentType="image/png"/>
  <Override PartName="/word/media/rId64.png" ContentType="image/png"/>
  <Override PartName="/word/media/rId65.png" ContentType="image/png"/>
  <Override PartName="/word/media/rId159.png" ContentType="image/png"/>
  <Override PartName="/word/media/rId158.png" ContentType="image/png"/>
  <Override PartName="/word/media/rId157.png" ContentType="image/png"/>
  <Override PartName="/word/media/rId156.png" ContentType="image/png"/>
  <Override PartName="/word/media/rId59.png" ContentType="image/png"/>
  <Override PartName="/word/media/rId57.png" ContentType="image/png"/>
  <Override PartName="/word/media/rId155.png" ContentType="image/png"/>
  <Override PartName="/word/media/rId176.png" ContentType="image/png"/>
  <Override PartName="/word/media/rId177.png" ContentType="image/png"/>
  <Override PartName="/word/media/rId148.png" ContentType="image/png"/>
  <Override PartName="/word/media/rId120.png" ContentType="image/png"/>
  <Override PartName="/word/media/rId152.png" ContentType="image/png"/>
  <Override PartName="/word/media/rId151.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the</w:t>
      </w:r>
      <w:r>
        <w:t xml:space="preserve"> </w:t>
      </w:r>
      <w:r>
        <w:t xml:space="preserve">Leech</w:t>
      </w:r>
      <w:r>
        <w:t xml:space="preserve"> </w:t>
      </w:r>
      <w:r>
        <w:t xml:space="preserve">River</w:t>
      </w:r>
      <w:r>
        <w:t xml:space="preserve"> </w:t>
      </w:r>
      <w:r>
        <w:t xml:space="preserve">watershed,</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Key points:</w:t>
      </w:r>
    </w:p>
    <w:p>
      <w:pPr>
        <w:pStyle w:val="Compact"/>
        <w:numPr>
          <w:numId w:val="1001"/>
          <w:ilvl w:val="0"/>
        </w:numPr>
      </w:pPr>
      <w:r>
        <w:t xml:space="preserve">refined method of vertical Rack passive sampling of rising stage in streams</w:t>
      </w:r>
    </w:p>
    <w:p>
      <w:pPr>
        <w:pStyle w:val="Compact"/>
        <w:numPr>
          <w:numId w:val="1001"/>
          <w:ilvl w:val="0"/>
        </w:numPr>
      </w:pPr>
      <w:r>
        <w:t xml:space="preserve">there were seasonal differences in spatial patterns to NOM character, although the dry and wet season mean concentrations were the same.</w:t>
      </w:r>
    </w:p>
    <w:p>
      <w:pPr>
        <w:pStyle w:val="Compact"/>
        <w:numPr>
          <w:numId w:val="1001"/>
          <w:ilvl w:val="0"/>
        </w:numPr>
      </w:pPr>
      <w:r>
        <w:t xml:space="preserve">mixing and reservoir effects will change riverine water quality prior to intake at the tower</w:t>
      </w:r>
    </w:p>
    <w:p>
      <w:pPr>
        <w:pStyle w:val="FirstParagraph"/>
      </w:pPr>
      <w:r>
        <w:rPr>
          <w:i/>
          <w:b/>
        </w:rPr>
        <w:t xml:space="preserve">to be updated following completion of results</w:t>
      </w:r>
    </w:p>
    <w:p>
      <w:pPr>
        <w:pStyle w:val="BodyText"/>
      </w:pPr>
      <w:r>
        <w:t xml:space="preserve">Monitoring source water quality and hydrologic dynamics is a crucial part of a multi-barrier approach to clean drinking water.</w:t>
      </w:r>
      <w:r>
        <w:t xml:space="preserve"> </w:t>
      </w:r>
      <w:r>
        <w:t xml:space="preserve">In a riverine system, hydrochemical pulses have a range of magnitudes, timings and relationships amongst sub-catchments.</w:t>
      </w:r>
      <w:r>
        <w:t xml:space="preserve"> </w:t>
      </w:r>
      <w:r>
        <w:t xml:space="preserve">As the majority of drinking water in Canada originates in forested headwaters, forest management is intimately tied to drinking water supplies for many communities. There are many ways in which forest management can effect the hydrology of a catchment, as well as the water quality. However, without a baseline understanding of hydrochemical dynamics, it’s difficult to say whether observations fit within baseline variability or indicate a departure from a catchment’s range due to forest prescriptions.</w:t>
      </w:r>
    </w:p>
    <w:p>
      <w:pPr>
        <w:pStyle w:val="BodyText"/>
      </w:pPr>
      <w:r>
        <w:t xml:space="preserve">As part of the NSERC</w:t>
      </w:r>
      <w:r>
        <w:t xml:space="preserve"> </w:t>
      </w:r>
      <w:r>
        <w:t xml:space="preserve">‘</w:t>
      </w:r>
      <w:r>
        <w:t xml:space="preserve">forWater</w:t>
      </w:r>
      <w:r>
        <w:t xml:space="preserve">’</w:t>
      </w:r>
      <w:r>
        <w:t xml:space="preserve"> </w:t>
      </w:r>
      <w:r>
        <w:t xml:space="preserve">Network for Forested Drinking Water Source Protection Technologies, this research was conducted in partnership with a regional protected water supply to characterize the relative ranges of hydrochemical dynamics and the syncrony of rainfall response among subbasins. Six subbasin sites were equipped with vertical sampling racks to continuously log river stage and passively collect water samples on the rising limb of the hydrograph. Samples were analyzed for dissolved organic carbon (DOC) and dissolved organic matter (DOM) through high temperature combustion and UV-Vis spectroscopy (respectively) to assess landscape connectivity, and a subset of samples were analyzed for a suite of metals to assess DOM transport relationships.</w:t>
      </w:r>
    </w:p>
    <w:p>
      <w:pPr>
        <w:pStyle w:val="BodyText"/>
      </w:pPr>
      <w:r>
        <w:t xml:space="preserve">As a case study, understanding the baseline of hydrochemical dynamics in this protected water supply area can help pave the way for future experimental forest treatments, such as preventative forest fuel management, and can help to anticipate changes in treatment requirements due to hydrodynamic forcing across the watershed. More broadly, these analyses add to our understanding of</w:t>
      </w:r>
      <w:r>
        <w:t xml:space="preserve"> </w:t>
      </w:r>
      <w:r>
        <w:t xml:space="preserve">“</w:t>
      </w:r>
      <w:r>
        <w:t xml:space="preserve">natural</w:t>
      </w:r>
      <w:r>
        <w:t xml:space="preserve">”</w:t>
      </w:r>
      <w:r>
        <w:t xml:space="preserve"> </w:t>
      </w:r>
      <w:r>
        <w:t xml:space="preserve">variability across a recently undisturbed second growth forested catchment.</w:t>
      </w:r>
    </w:p>
    <w:p>
      <w:pPr>
        <w:pStyle w:val="BodyText"/>
      </w:pPr>
      <w:r>
        <w:t xml:space="preserve">This research explored the spatial and temporal dynamics of hydrochemcial synchrony</w:t>
      </w:r>
    </w:p>
    <w:p>
      <w:r>
        <w:pict>
          <v:rect style="width:0;height:1.5pt" o:hralign="center" o:hrstd="t" o:hr="t"/>
        </w:pict>
      </w:r>
    </w:p>
    <w:p>
      <w:pPr>
        <w:pStyle w:val="FirstParagraph"/>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2"/>
          <w:ilvl w:val="0"/>
        </w:numPr>
      </w:pPr>
      <w:r>
        <w:t xml:space="preserve">TOC</w:t>
      </w:r>
    </w:p>
    <w:p>
      <w:pPr>
        <w:pStyle w:val="Compact"/>
        <w:numPr>
          <w:numId w:val="1002"/>
          <w:ilvl w:val="0"/>
        </w:numPr>
      </w:pPr>
      <w:r>
        <w:t xml:space="preserve">LOT</w:t>
      </w:r>
    </w:p>
    <w:p>
      <w:pPr>
        <w:pStyle w:val="Compact"/>
        <w:numPr>
          <w:numId w:val="1002"/>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the specific absorbance coefficient at 254 nm (SAC</w:t>
      </w:r>
      <w:r>
        <w:rPr>
          <w:vertAlign w:val="subscript"/>
        </w:rPr>
        <w:t xml:space="preserve">254</w:t>
      </w:r>
      <w:r>
        <w:t xml:space="preserve">, absorbance relative to pathlength) 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Aside from DBPs, NOM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w:t>
      </w:r>
      <w:r>
        <w:rPr>
          <w:vertAlign w:val="superscript"/>
        </w:rPr>
        <w:t xml:space="preserve">2</w:t>
      </w:r>
      <w:r>
        <w:t xml:space="preserve">) encompassed Weeks Lake and surrounding wetlands (Jordan Meadows fen), and Chris crk sub-basin (5.8 km</w:t>
      </w:r>
      <w:r>
        <w:rPr>
          <w:vertAlign w:val="superscript"/>
        </w:rPr>
        <w:t xml:space="preserve">2</w:t>
      </w:r>
      <w:r>
        <w:t xml:space="preserve">)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6629399"/>
            <wp:effectExtent b="0" l="0" r="0" t="0"/>
            <wp:docPr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(r=0.68) than was SUVA</w:t>
      </w:r>
      <w:r>
        <w:rPr>
          <w:vertAlign w:val="subscript"/>
        </w:rPr>
        <w:t xml:space="preserve">254</w:t>
      </w:r>
      <w:r>
        <w:t xml:space="preserve"> </w:t>
      </w:r>
      <w:r>
        <w:t xml:space="preserve">(r=0.36) or DOC (r=0.50).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summary"/>
      <w:r>
        <w:t xml:space="preserve">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X5df29f0d072217184f9d2c3d489d6e7d9af746b"/>
      <w:r>
        <w:t xml:space="preserve">Spatial patterns in NOM quantity and quality</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 xml:space="preserve">254</w:t>
      </w:r>
      <w:r>
        <w:t xml:space="preserve">), which indicates NOM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 was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differences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summary-and-future-directions"/>
      <w:r>
        <w:t xml:space="preserve">Summary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9412f07105d07da2acfbf06a052fadb4118a49a"/>
      <w:r>
        <w:t xml:space="preserve">Watershed Characteristics and Sampling Conditions as Driving Forces for Dynamics of Aqueous Natural Organic Matter Across the Leech River Watershed</w:t>
      </w:r>
      <w:bookmarkEnd w:id="83"/>
    </w:p>
    <w:p>
      <w:pPr>
        <w:pStyle w:val="FirstParagraph"/>
      </w:pPr>
      <w:r>
        <w:t xml:space="preserve"> </w:t>
      </w:r>
    </w:p>
    <w:p>
      <w:pPr>
        <w:pStyle w:val="Heading3"/>
      </w:pPr>
      <w:bookmarkStart w:id="84" w:name="synopsis-and-introduction"/>
      <w:r>
        <w:t xml:space="preserve">Synopsis and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w:t>
      </w:r>
      <w:r>
        <w:rPr>
          <w:b/>
        </w:rPr>
        <w:t xml:space="preserve">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3"/>
          <w:ilvl w:val="0"/>
        </w:numPr>
      </w:pPr>
      <w:r>
        <w:t xml:space="preserve">metamorphic parent-material (wark gneiss, percent of basin)</w:t>
      </w:r>
    </w:p>
    <w:p>
      <w:pPr>
        <w:pStyle w:val="Compact"/>
        <w:numPr>
          <w:numId w:val="1003"/>
          <w:ilvl w:val="0"/>
        </w:numPr>
      </w:pPr>
      <w:r>
        <w:t xml:space="preserve">igneous parent material (Metchosin volcanics &amp; gabbro stocks, percent of basin)</w:t>
      </w:r>
    </w:p>
    <w:p>
      <w:pPr>
        <w:pStyle w:val="Compact"/>
        <w:numPr>
          <w:numId w:val="1003"/>
          <w:ilvl w:val="0"/>
        </w:numPr>
      </w:pPr>
      <w:r>
        <w:t xml:space="preserve">drainage area (km</w:t>
      </w:r>
      <w:r>
        <w:rPr>
          <w:vertAlign w:val="superscript"/>
        </w:rPr>
        <w:t xml:space="preserve">2</w:t>
      </w:r>
      <w:r>
        <w:t xml:space="preserve">)</w:t>
      </w:r>
    </w:p>
    <w:p>
      <w:pPr>
        <w:pStyle w:val="Compact"/>
        <w:numPr>
          <w:numId w:val="1003"/>
          <w:ilvl w:val="0"/>
        </w:numPr>
      </w:pPr>
      <w:r>
        <w:t xml:space="preserve">mean basin slope (degrees)</w:t>
      </w:r>
    </w:p>
    <w:p>
      <w:pPr>
        <w:pStyle w:val="Compact"/>
        <w:numPr>
          <w:numId w:val="1003"/>
          <w:ilvl w:val="0"/>
        </w:numPr>
      </w:pPr>
      <w:r>
        <w:t xml:space="preserve">tree age (average, years)</w:t>
      </w:r>
    </w:p>
    <w:p>
      <w:pPr>
        <w:pStyle w:val="Compact"/>
        <w:numPr>
          <w:numId w:val="1003"/>
          <w:ilvl w:val="0"/>
        </w:numPr>
      </w:pPr>
      <w:r>
        <w:t xml:space="preserve">logging history (percent of basin harvested 1980-2011)</w:t>
      </w:r>
    </w:p>
    <w:p>
      <w:pPr>
        <w:pStyle w:val="Compact"/>
        <w:numPr>
          <w:numId w:val="1003"/>
          <w:ilvl w:val="0"/>
        </w:numPr>
      </w:pPr>
      <w:r>
        <w:t xml:space="preserve">antecedent 7-day air temperatures (°C, mean)</w:t>
      </w:r>
    </w:p>
    <w:p>
      <w:pPr>
        <w:pStyle w:val="Compact"/>
        <w:numPr>
          <w:numId w:val="1003"/>
          <w:ilvl w:val="0"/>
        </w:numPr>
      </w:pPr>
      <w:r>
        <w:t xml:space="preserve">antecedent 30-day rain (mm, total)</w:t>
      </w:r>
    </w:p>
    <w:p>
      <w:pPr>
        <w:pStyle w:val="Compact"/>
        <w:numPr>
          <w:numId w:val="1003"/>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BodyText"/>
      </w:pPr>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w:t>
      </w:r>
      <w:r>
        <w:t xml:space="preserve"> </w:t>
      </w:r>
      <w:r>
        <w:rPr>
          <w:i/>
        </w:rPr>
        <w:t xml:space="preserve">XXXX</w:t>
      </w:r>
      <w:r>
        <w:t xml:space="preserve">, Figure</w:t>
      </w:r>
      <w:r>
        <w:t xml:space="preserve"> </w:t>
      </w:r>
      <w:r>
        <w:t xml:space="preserve">40</w:t>
      </w:r>
      <w:r>
        <w:t xml:space="preserve">,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14</w:t>
      </w:r>
      <w:r>
        <w:t xml:space="preserve">).</w:t>
      </w:r>
    </w:p>
    <w:p>
      <w:pPr>
        <w:pStyle w:val="BodyText"/>
      </w:pPr>
      <w:r>
        <w:t xml:space="preserve"> </w:t>
      </w:r>
    </w:p>
    <w:p>
      <w:pPr>
        <w:pStyle w:val="CaptionedFigure"/>
      </w:pPr>
      <w:r>
        <w:drawing>
          <wp:inline>
            <wp:extent cx="5504749" cy="3669832"/>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logging history (Figure</w:t>
      </w:r>
      <w:r>
        <w:t xml:space="preserve"> </w:t>
      </w:r>
      <w:r>
        <w:t xml:space="preserve">15</w:t>
      </w:r>
      <w:r>
        <w:t xml:space="preserve">).</w:t>
      </w:r>
    </w:p>
    <w:p>
      <w:pPr>
        <w:pStyle w:val="BodyText"/>
      </w:pPr>
      <w:r>
        <w:t xml:space="preserve"> </w:t>
      </w:r>
    </w:p>
    <w:p>
      <w:pPr>
        <w:pStyle w:val="CaptionedFigure"/>
      </w:pPr>
      <w:r>
        <w:drawing>
          <wp:inline>
            <wp:extent cx="5504749" cy="3669832"/>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16</w:t>
      </w:r>
      <w:r>
        <w:t xml:space="preserve">).</w:t>
      </w:r>
    </w:p>
    <w:p>
      <w:pPr>
        <w:pStyle w:val="BodyText"/>
      </w:pPr>
      <w:r>
        <w:t xml:space="preserve"> </w:t>
      </w:r>
    </w:p>
    <w:p>
      <w:pPr>
        <w:pStyle w:val="CaptionedFigure"/>
      </w:pPr>
      <w:r>
        <w:drawing>
          <wp:inline>
            <wp:extent cx="5504749" cy="3669832"/>
            <wp:effectExtent b="0" l="0" r="0" t="0"/>
            <wp:docPr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Figure</w:t>
      </w:r>
      <w:r>
        <w:t xml:space="preserve"> </w:t>
      </w:r>
      <w:r>
        <w:t xml:space="preserve">40</w:t>
      </w:r>
      <w:r>
        <w:t xml:space="preserve">).</w:t>
      </w:r>
    </w:p>
    <w:p>
      <w:pPr>
        <w:pStyle w:val="BodyText"/>
      </w:pPr>
      <w:r>
        <w:t xml:space="preserve"> </w:t>
      </w:r>
    </w:p>
    <w:p>
      <w:pPr>
        <w:pStyle w:val="Heading5"/>
      </w:pPr>
      <w:bookmarkStart w:id="102" w:name="sampling-conditions"/>
      <w:r>
        <w:t xml:space="preserve">Sampling conditions</w:t>
      </w:r>
      <w:bookmarkEnd w:id="102"/>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3" w:name="sampling-stage"/>
      <w:r>
        <w:t xml:space="preserve">Sampling stage</w:t>
      </w:r>
      <w:bookmarkEnd w:id="103"/>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4587290"/>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41</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(~25% of maximum antecedent 30-day rain), NOM aromaticity and molecular size increased. At approximately 300 mm of 30-day antecedent rain, NOM aromaticity and molecular size appeared to become less variable (Figure</w:t>
      </w:r>
      <w:r>
        <w:t xml:space="preserve"> </w:t>
      </w:r>
      <w:r>
        <w:t xml:space="preserve">19</w:t>
      </w:r>
      <w:r>
        <w:t xml:space="preserve">).</w:t>
      </w:r>
    </w:p>
    <w:p>
      <w:pPr>
        <w:pStyle w:val="BodyText"/>
      </w:pPr>
      <w:r>
        <w:t xml:space="preserve"> </w:t>
      </w:r>
    </w:p>
    <w:p>
      <w:pPr>
        <w:pStyle w:val="BodyText"/>
      </w:pPr>
      <w:r>
        <w:t xml:space="preserve">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with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w:t>
      </w:r>
      <w:r>
        <w:t xml:space="preserve"> </w:t>
      </w:r>
      <w:r>
        <w:rPr>
          <w:i/>
        </w:rPr>
        <w:t xml:space="preserve">XXXXX</w:t>
      </w:r>
      <w:r>
        <w:t xml:space="preserve">, Figure</w:t>
      </w:r>
      <w:r>
        <w:t xml:space="preserve"> </w:t>
      </w:r>
      <w:r>
        <w:t xml:space="preserve">42</w:t>
      </w:r>
      <w:r>
        <w:t xml:space="preserve">).</w:t>
      </w:r>
    </w:p>
    <w:p>
      <w:pPr>
        <w:pStyle w:val="BodyText"/>
      </w:pPr>
      <w:r>
        <w:t xml:space="preserve"> </w:t>
      </w:r>
    </w:p>
    <w:p>
      <w:pPr>
        <w:pStyle w:val="CaptionedFigure"/>
      </w:pPr>
      <w:r>
        <w:drawing>
          <wp:inline>
            <wp:extent cx="3669832" cy="4587290"/>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BodyText"/>
      </w:pPr>
      <w:r>
        <w:t xml:space="preserve">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mean sub-basin slope, metamorphic parent material (percent of basin), logging history (percent of basin harvested 1980-2011), tree age (average) and/or drainage area.</w:t>
      </w:r>
    </w:p>
    <w:p>
      <w:pPr>
        <w:pStyle w:val="BodyText"/>
      </w:pPr>
      <w:r>
        <w:t xml:space="preserve"> </w:t>
      </w:r>
    </w:p>
    <w:p>
      <w:pPr>
        <w:pStyle w:val="Heading6"/>
      </w:pPr>
      <w:bookmarkStart w:id="110" w:name="sub-basin-slope"/>
      <w:r>
        <w:t xml:space="preserve">Sub-basin slope</w:t>
      </w:r>
      <w:bookmarkEnd w:id="110"/>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w:t>
      </w:r>
      <w:r>
        <w:t xml:space="preserve"> </w:t>
      </w:r>
      <w:r>
        <w:t xml:space="preserve">20</w:t>
      </w:r>
      <w:r>
        <w:t xml:space="preserve">). Slope was negatively correlated to percent wetland (-0.73), and wetlands are known to be linked with high DOC concentrations and greater NOM aromaticity. Indeed, SAC</w:t>
      </w:r>
      <w:r>
        <w:rPr>
          <w:vertAlign w:val="subscript"/>
        </w:rPr>
        <w:t xml:space="preserve">254</w:t>
      </w:r>
      <w:r>
        <w:t xml:space="preserve"> </w:t>
      </w:r>
      <w:r>
        <w:t xml:space="preserve">indicated higher aromaticity in sub-basins with lower mean slope (Figure</w:t>
      </w:r>
      <w:r>
        <w:t xml:space="preserve"> </w:t>
      </w:r>
      <w:r>
        <w:t xml:space="preserve">20</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0: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1"/>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parent-material-metamorphic-wark-gneiss"/>
      <w:r>
        <w:t xml:space="preserve">Parent material (metamorphic wark gneiss)</w:t>
      </w:r>
      <w:bookmarkEnd w:id="112"/>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21</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21</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21</w:t>
      </w:r>
      <w:r>
        <w:t xml:space="preserve">).</w:t>
      </w:r>
    </w:p>
    <w:p>
      <w:pPr>
        <w:pStyle w:val="BodyText"/>
      </w:pPr>
      <w:r>
        <w:t xml:space="preserve"> </w:t>
      </w:r>
    </w:p>
    <w:p>
      <w:pPr>
        <w:pStyle w:val="CaptionedFigure"/>
      </w:pPr>
      <w:r>
        <w:drawing>
          <wp:inline>
            <wp:extent cx="3669832" cy="5504749"/>
            <wp:effectExtent b="0" l="0" r="0" t="0"/>
            <wp:docPr descr="Figure 21: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logging-history-and-mean-tree-age"/>
      <w:r>
        <w:t xml:space="preserve">Logging history and mean tree age</w:t>
      </w:r>
      <w:bookmarkEnd w:id="114"/>
    </w:p>
    <w:p>
      <w:pPr>
        <w:pStyle w:val="FirstParagraph"/>
      </w:pPr>
      <w:r>
        <w:t xml:space="preserve">Logging history (percent of basin harvested from 1980-2011) was ranked first among watershed characteristics for predicting E</w:t>
      </w:r>
      <w:r>
        <w:rPr>
          <w:vertAlign w:val="subscript"/>
        </w:rPr>
        <w:t xml:space="preserve">2</w:t>
      </w:r>
      <w:r>
        <w:t xml:space="preserve">:E</w:t>
      </w:r>
      <w:r>
        <w:rPr>
          <w:vertAlign w:val="subscript"/>
        </w:rPr>
        <w:t xml:space="preserve">3</w:t>
      </w:r>
      <w:r>
        <w:t xml:space="preserve"> </w:t>
      </w:r>
      <w:r>
        <w:t xml:space="preserve">and third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DOC. Tree age and logging history were examined together because average tree age was partially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and did not match this pattern of less aromatic, lower molecular weight NOM with greater harvest history (Figure</w:t>
      </w:r>
      <w:r>
        <w:t xml:space="preserve"> </w:t>
      </w:r>
      <w:r>
        <w:t xml:space="preserve">22</w:t>
      </w:r>
      <w:r>
        <w:t xml:space="preserve">). The sites with more aromatic and higher molecular weight NOM were not clearly linked to average tree age (Figure</w:t>
      </w:r>
      <w:r>
        <w:t xml:space="preserve"> </w:t>
      </w:r>
      <w:r>
        <w:t xml:space="preserve">22</w:t>
      </w:r>
      <w:r>
        <w:t xml:space="preserve">).</w:t>
      </w:r>
    </w:p>
    <w:p>
      <w:pPr>
        <w:pStyle w:val="BodyText"/>
      </w:pPr>
      <w:r>
        <w:t xml:space="preserve"> </w:t>
      </w:r>
    </w:p>
    <w:p>
      <w:pPr>
        <w:pStyle w:val="BodyText"/>
      </w:pPr>
      <w:r>
        <w:t xml:space="preserve">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w:t>
      </w:r>
      <w:r>
        <w:rPr>
          <w:i/>
          <w:b/>
        </w:rPr>
        <w:t xml:space="preserve">statistically??</w:t>
      </w:r>
      <w:r>
        <w:t xml:space="preserve">); Cragg crk had greater molecular weight NOM than West Leech (but their error bars overlapped entirely). It is possible that the GIS data for forest harvest and tree age were missing some details.</w:t>
      </w:r>
    </w:p>
    <w:p>
      <w:pPr>
        <w:pStyle w:val="BodyText"/>
      </w:pPr>
      <w:r>
        <w:t xml:space="preserve"> </w:t>
      </w:r>
    </w:p>
    <w:p>
      <w:pPr>
        <w:pStyle w:val="CaptionedFigure"/>
      </w:pPr>
      <w:r>
        <w:drawing>
          <wp:inline>
            <wp:extent cx="5943600" cy="548639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15"/>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5"/>
      </w:pPr>
      <w:bookmarkStart w:id="116" w:name="variable-importance-summary"/>
      <w:r>
        <w:t xml:space="preserve">Variable importance Summary</w:t>
      </w:r>
      <w:bookmarkEnd w:id="116"/>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pPr>
        <w:pStyle w:val="BodyText"/>
      </w:pPr>
      <w:r>
        <w:t xml:space="preserve"> </w:t>
      </w:r>
    </w:p>
    <w:p>
      <w:pPr>
        <w:pStyle w:val="BodyText"/>
      </w:pPr>
      <w:r>
        <w:t xml:space="preserve">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pPr>
        <w:pStyle w:val="BodyText"/>
      </w:pPr>
      <w:r>
        <w:t xml:space="preserve"> </w:t>
      </w:r>
    </w:p>
    <w:p>
      <w:pPr>
        <w:pStyle w:val="Heading4"/>
      </w:pPr>
      <w:bookmarkStart w:id="117" w:name="X8a5360c2131915aff3d568048020d54c1b1f742"/>
      <w:r>
        <w:t xml:space="preserve">Warm and wet: seasonal patterns and rain events</w:t>
      </w:r>
      <w:bookmarkEnd w:id="117"/>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23</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3: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1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crk.</w:t>
      </w:r>
    </w:p>
    <w:p>
      <w:pPr>
        <w:pStyle w:val="BodyText"/>
      </w:pPr>
      <w:r>
        <w:t xml:space="preserve"> </w:t>
      </w:r>
    </w:p>
    <w:p>
      <w:pPr>
        <w:pStyle w:val="Heading5"/>
      </w:pPr>
      <w:bookmarkStart w:id="119" w:name="rising-stage-and-aqueous-nom-dynamics"/>
      <w:r>
        <w:t xml:space="preserve">Rising stage and aqueous NOM dynamics</w:t>
      </w:r>
      <w:bookmarkEnd w:id="119"/>
    </w:p>
    <w:p>
      <w:pPr>
        <w:pStyle w:val="FirstParagraph"/>
      </w:pPr>
      <w:r>
        <w:t xml:space="preserve">Antecedent moisture and/or sampling stage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16</w:t>
      </w:r>
      <w:r>
        <w:t xml:space="preserve">). As expected, rate of change in stage was greatest at the highest order stream, the Tunnel site, and smallest at Weeks crk.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if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0.5882</w:t>
            </w:r>
          </w:p>
        </w:tc>
        <w:tc>
          <w:p>
            <w:pPr>
              <w:pStyle w:val="Compact"/>
              <w:jc w:val="right"/>
            </w:pPr>
            <w:r>
              <w:t xml:space="preserve">0.6471</w:t>
            </w:r>
          </w:p>
        </w:tc>
      </w:tr>
      <w:tr>
        <w:tc>
          <w:p>
            <w:pPr>
              <w:pStyle w:val="Compact"/>
              <w:jc w:val="left"/>
            </w:pPr>
            <w:r>
              <w:t xml:space="preserve">ChrisCrk</w:t>
            </w:r>
          </w:p>
        </w:tc>
        <w:tc>
          <w:p>
            <w:pPr>
              <w:pStyle w:val="Compact"/>
              <w:jc w:val="right"/>
            </w:pPr>
            <w:r>
              <w:t xml:space="preserve">0.8000</w:t>
            </w:r>
          </w:p>
        </w:tc>
        <w:tc>
          <w:p>
            <w:pPr>
              <w:pStyle w:val="Compact"/>
              <w:jc w:val="right"/>
            </w:pPr>
            <w:r>
              <w:t xml:space="preserve">0.8000</w:t>
            </w:r>
          </w:p>
        </w:tc>
      </w:tr>
      <w:tr>
        <w:tc>
          <w:p>
            <w:pPr>
              <w:pStyle w:val="Compact"/>
              <w:jc w:val="left"/>
            </w:pPr>
            <w:r>
              <w:t xml:space="preserve">LeechHead</w:t>
            </w:r>
          </w:p>
        </w:tc>
        <w:tc>
          <w:p>
            <w:pPr>
              <w:pStyle w:val="Compact"/>
              <w:jc w:val="right"/>
            </w:pPr>
            <w:r>
              <w:t xml:space="preserve">0.8889</w:t>
            </w:r>
          </w:p>
        </w:tc>
        <w:tc>
          <w:p>
            <w:pPr>
              <w:pStyle w:val="Compact"/>
              <w:jc w:val="right"/>
            </w:pPr>
            <w:r>
              <w:t xml:space="preserve">0.8889</w:t>
            </w:r>
          </w:p>
        </w:tc>
      </w:tr>
      <w:tr>
        <w:tc>
          <w:p>
            <w:pPr>
              <w:pStyle w:val="Compact"/>
              <w:jc w:val="left"/>
            </w:pPr>
            <w:r>
              <w:t xml:space="preserve">CraggCrk</w:t>
            </w:r>
          </w:p>
        </w:tc>
        <w:tc>
          <w:p>
            <w:pPr>
              <w:pStyle w:val="Compact"/>
              <w:jc w:val="right"/>
            </w:pPr>
            <w:r>
              <w:t xml:space="preserve">0.8000</w:t>
            </w:r>
          </w:p>
        </w:tc>
        <w:tc>
          <w:p>
            <w:pPr>
              <w:pStyle w:val="Compact"/>
              <w:jc w:val="right"/>
            </w:pPr>
            <w:r>
              <w:t xml:space="preserve">0.9000</w:t>
            </w:r>
          </w:p>
        </w:tc>
      </w:tr>
      <w:tr>
        <w:tc>
          <w:p>
            <w:pPr>
              <w:pStyle w:val="Compact"/>
              <w:jc w:val="left"/>
            </w:pPr>
            <w:r>
              <w:t xml:space="preserve">WestLeech</w:t>
            </w:r>
          </w:p>
        </w:tc>
        <w:tc>
          <w:p>
            <w:pPr>
              <w:pStyle w:val="Compact"/>
              <w:jc w:val="right"/>
            </w:pPr>
            <w:r>
              <w:t xml:space="preserve">0.8636</w:t>
            </w:r>
          </w:p>
        </w:tc>
        <w:tc>
          <w:p>
            <w:pPr>
              <w:pStyle w:val="Compact"/>
              <w:jc w:val="right"/>
            </w:pPr>
            <w:r>
              <w:t xml:space="preserve">0.7727</w:t>
            </w:r>
          </w:p>
        </w:tc>
      </w:tr>
      <w:tr>
        <w:tc>
          <w:p>
            <w:pPr>
              <w:pStyle w:val="Compact"/>
              <w:jc w:val="left"/>
            </w:pPr>
            <w:r>
              <w:t xml:space="preserve">Tunnel</w:t>
            </w:r>
          </w:p>
        </w:tc>
        <w:tc>
          <w:p>
            <w:pPr>
              <w:pStyle w:val="Compact"/>
              <w:jc w:val="right"/>
            </w:pPr>
            <w:r>
              <w:t xml:space="preserve">0.7647</w:t>
            </w:r>
          </w:p>
        </w:tc>
        <w:tc>
          <w:p>
            <w:pPr>
              <w:pStyle w:val="Compact"/>
              <w:jc w:val="right"/>
            </w:pPr>
            <w:r>
              <w:t xml:space="preserve">0.9412</w:t>
            </w:r>
          </w:p>
        </w:tc>
      </w:tr>
      <w:tr>
        <w:tc>
          <w:p>
            <w:pPr>
              <w:pStyle w:val="Compact"/>
              <w:jc w:val="left"/>
            </w:pPr>
            <w:r>
              <w:t xml:space="preserve">all sites</w:t>
            </w:r>
          </w:p>
        </w:tc>
        <w:tc>
          <w:p>
            <w:pPr>
              <w:pStyle w:val="Compact"/>
              <w:jc w:val="right"/>
            </w:pPr>
            <w:r>
              <w:t xml:space="preserve">0.7895</w:t>
            </w:r>
          </w:p>
        </w:tc>
        <w:tc>
          <w:p>
            <w:pPr>
              <w:pStyle w:val="Compact"/>
              <w:jc w:val="right"/>
            </w:pPr>
            <w:r>
              <w:t xml:space="preserve">0.8246</w:t>
            </w:r>
          </w:p>
        </w:tc>
      </w:tr>
    </w:tbl>
    <w:p>
      <w:pPr>
        <w:pStyle w:val="BodyText"/>
      </w:pPr>
      <w:r>
        <w:t xml:space="preserve"> </w:t>
      </w:r>
    </w:p>
    <w:p>
      <w:pPr>
        <w:pStyle w:val="BodyText"/>
      </w:pPr>
      <w:r>
        <w:t xml:space="preserve">Four of the six site’s samples showed majority, but not absolute, agreement in extremes of DOC-stage relationships; Chris crk and Leech-head each had the same proportion of common maxima and minima. In general DOC concentrations were lowest at the beginning of events and increased with a rise in stage (Figure</w:t>
      </w:r>
      <w:r>
        <w:t xml:space="preserve"> </w:t>
      </w:r>
      <w:r>
        <w:t xml:space="preserve">24</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4: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0"/>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18</w:t>
      </w:r>
      <w:r>
        <w:t xml:space="preserve">). The smallest event-based concentration change occurred at Leech head (1.2%) and the Tunnel (1.4%). The largest event-based change in concentration was observed at West Leech (94.6%), and the second largest change occurred at Chris crk (82% change in DOC).</w:t>
      </w:r>
    </w:p>
    <w:p>
      <w:pPr>
        <w:pStyle w:val="BodyText"/>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BodyText"/>
      </w:pPr>
      <w:r>
        <w:t xml:space="preserve">At the Tunnel, Cragg crk and Chris crk, NOM concentration and aromaticity generally increased with stage; while at West Leech, aromaticity was inversely related to stage. Weeks crk maintained the most consistent NOM aromaticity and molecular weight (E</w:t>
      </w:r>
      <w:r>
        <w:rPr>
          <w:vertAlign w:val="subscript"/>
        </w:rPr>
        <w:t xml:space="preserve">2</w:t>
      </w:r>
      <w:r>
        <w:t xml:space="preserve">:E</w:t>
      </w:r>
      <w:r>
        <w:rPr>
          <w:vertAlign w:val="subscript"/>
        </w:rPr>
        <w:t xml:space="preserve">3</w:t>
      </w:r>
      <w:r>
        <w:t xml:space="preserve">) with changing stage (Figure</w:t>
      </w:r>
      <w:r>
        <w:t xml:space="preserve"> </w:t>
      </w:r>
      <w:r>
        <w:t xml:space="preserve">25</w:t>
      </w:r>
      <w:r>
        <w:t xml:space="preserve">).</w:t>
      </w:r>
    </w:p>
    <w:p>
      <w:pPr>
        <w:pStyle w:val="BodyText"/>
      </w:pPr>
      <w:r>
        <w:t xml:space="preserve"> </w:t>
      </w:r>
    </w:p>
    <w:p>
      <w:pPr>
        <w:pStyle w:val="CaptionedFigure"/>
      </w:pPr>
      <w:r>
        <w:drawing>
          <wp:inline>
            <wp:extent cx="5504749" cy="6880936"/>
            <wp:effectExtent b="0" l="0" r="0" t="0"/>
            <wp:docPr descr="Figure 25:  Relationships between river stage and sample NOM concentrations and character, where connected lines show data density. Data for each variable were normalized (min-max normalization) for comparison of relative scales in each relationship between sites."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1"/>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Relationships between river stage and sample NOM concentrations and character, where connected lines show data density. Data for each variable were normalized (min-max normalization) for comparison of relative scales in each relationship between sites.</w:t>
      </w:r>
    </w:p>
    <w:p>
      <w:pPr>
        <w:pStyle w:val="BodyText"/>
      </w:pPr>
      <w:r>
        <w:br/>
      </w:r>
    </w:p>
    <w:p>
      <w:pPr>
        <w:pStyle w:val="Heading4"/>
      </w:pPr>
      <w:bookmarkStart w:id="122" w:name="X13c228b9c6713a570794a6e9e994c61f206d14b"/>
      <w:r>
        <w:t xml:space="preserve">Hysteresis of NOM with antecedent wetness</w:t>
      </w:r>
      <w:bookmarkEnd w:id="122"/>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w:t>
      </w:r>
      <w:r>
        <w:t xml:space="preserve"> </w:t>
      </w:r>
      <w:r>
        <w:t xml:space="preserve">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26</w:t>
      </w:r>
      <w:r>
        <w:t xml:space="preserve">).</w:t>
      </w:r>
    </w:p>
    <w:p>
      <w:pPr>
        <w:pStyle w:val="BodyText"/>
      </w:pPr>
      <w:r>
        <w:t xml:space="preserve"> </w:t>
      </w:r>
    </w:p>
    <w:p>
      <w:pPr>
        <w:pStyle w:val="CaptionedFigure"/>
      </w:pPr>
      <w:r>
        <w:drawing>
          <wp:inline>
            <wp:extent cx="5504749" cy="5963478"/>
            <wp:effectExtent b="0" l="0" r="0" t="0"/>
            <wp:docPr descr="Figure 26: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3"/>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27</w:t>
      </w:r>
      <w:r>
        <w:t xml:space="preserve">).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w:t>
      </w:r>
      <w:r>
        <w:t xml:space="preserve"> </w:t>
      </w:r>
      <w:r>
        <w:t xml:space="preserve">15</w:t>
      </w:r>
      <w:r>
        <w:t xml:space="preserve">).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w:t>
      </w:r>
      <w:r>
        <w:t xml:space="preserve"> </w:t>
      </w:r>
      <w:r>
        <w:t xml:space="preserve">27</w:t>
      </w:r>
      <w:r>
        <w:t xml:space="preserve">). At the Tunnel, there was a change in loop direction at the end of each event.</w:t>
      </w:r>
    </w:p>
    <w:p>
      <w:pPr>
        <w:pStyle w:val="BodyText"/>
      </w:pPr>
      <w:r>
        <w:t xml:space="preserve"> </w:t>
      </w:r>
    </w:p>
    <w:p>
      <w:pPr>
        <w:pStyle w:val="CaptionedFigure"/>
      </w:pPr>
      <w:r>
        <w:drawing>
          <wp:inline>
            <wp:extent cx="5504749" cy="5504749"/>
            <wp:effectExtent b="0" l="0" r="0" t="0"/>
            <wp:docPr descr="Figure 27: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25" w:name="discussion"/>
      <w:r>
        <w:t xml:space="preserve">Discussion</w:t>
      </w:r>
      <w:bookmarkEnd w:id="125"/>
    </w:p>
    <w:p>
      <w:pPr>
        <w:pStyle w:val="FirstParagraph"/>
      </w:pPr>
      <w:r>
        <w:t xml:space="preserve">The sampling conditions and watershed characteristics included in Random Forest variable importance measures (RF VIM) showed that across the six monitoring sites in the Leech WSA, stream NOM concentration and character were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pPr>
        <w:pStyle w:val="BodyText"/>
      </w:pPr>
      <w:r>
        <w:t xml:space="preserve"> </w:t>
      </w:r>
    </w:p>
    <w:p>
      <w:pPr>
        <w:pStyle w:val="BodyText"/>
      </w:pPr>
      <w:r>
        <w:t xml:space="preserve">Sub-basin NOM concentration and aromaticity decreased with increasing representation of metamorphic wark gneiss parent material, but its absence did not correspond to the site with highest concentration or aromaticity. The patterns observed between NOM and metamorphic parent material suggests a more complex relationship between watershed characteristics and NOM dynamics. The metasedimentary Leech River formation (argillite metagreywacke and metagreywacke) was inversely correlated (-0.92) to wark gneiss in the monitoring basins and wasn’t included in RF VIM analyses. There may be an effect on aqueous NOM associated with a combination of parent materials and soil development that wasn’t full elucidated in this analysis.</w:t>
      </w:r>
    </w:p>
    <w:p>
      <w:pPr>
        <w:pStyle w:val="BodyText"/>
      </w:pPr>
      <w:r>
        <w:t xml:space="preserve"> </w:t>
      </w:r>
    </w:p>
    <w:p>
      <w:pPr>
        <w:pStyle w:val="BodyText"/>
      </w:pPr>
      <w:r>
        <w:t xml:space="preserve">Antecedent wetness is an important watershed driver for NOM export as it influences flow paths and hydrologic connectivity to source material</w:t>
      </w:r>
      <w:r>
        <w:t xml:space="preserve"> </w:t>
      </w:r>
      <w:r>
        <w:t xml:space="preserve">(McMillan et al.</w:t>
      </w:r>
      <w:r>
        <w:t xml:space="preserve"> </w:t>
      </w:r>
      <w:hyperlink w:anchor="ref-McMillan2018">
        <w:r>
          <w:rPr>
            <w:rStyle w:val="Hyperlink"/>
          </w:rPr>
          <w:t xml:space="preserve">2018</w:t>
        </w:r>
      </w:hyperlink>
      <w:r>
        <w:t xml:space="preserve">)</w:t>
      </w:r>
      <w:r>
        <w:t xml:space="preserve">. Solute supply and hydrologic connectivity can be interpreted through the magnitude and direction of water quality changes in response to precipitation</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In the Leech WSA, stage changed in response to precipitation and there was an apparent threshold (near 0.75 of peak sampling stage) that suggested a point at which terrestrial aromatic NOM pools had reached peak connectivity to the monitored streams.</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Event-based rising limb changes in DOC concentration varied from a little more than 1% (at Leech-head and the Tunnel) to 95% (at West Leech).</w:t>
      </w:r>
    </w:p>
    <w:p>
      <w:pPr>
        <w:pStyle w:val="BodyText"/>
      </w:pPr>
      <w:r>
        <w:t xml:space="preserve"> </w:t>
      </w:r>
    </w:p>
    <w:p>
      <w:pPr>
        <w:pStyle w:val="BodyText"/>
      </w:pPr>
      <w:r>
        <w:rPr>
          <w:i/>
        </w:rPr>
        <w:t xml:space="preserve">new</w:t>
      </w:r>
    </w:p>
    <w:p>
      <w:pPr>
        <w:pStyle w:val="BodyText"/>
      </w:pPr>
      <w:r>
        <w:t xml:space="preserve">Hood et. al</w:t>
      </w:r>
      <w:r>
        <w:t xml:space="preserve"> </w:t>
      </w:r>
      <w:r>
        <w:t xml:space="preserve">(</w:t>
      </w:r>
      <w:hyperlink w:anchor="ref-Hood2006">
        <w:r>
          <w:rPr>
            <w:rStyle w:val="Hyperlink"/>
          </w:rPr>
          <w:t xml:space="preserve">2006</w:t>
        </w:r>
      </w:hyperlink>
      <w:r>
        <w:t xml:space="preserve">)</w:t>
      </w:r>
      <w:r>
        <w:t xml:space="preserve"> </w:t>
      </w:r>
      <w:r>
        <w:t xml:space="preserve">measured ~200% increase in DOC during events in a small-basins (&lt; 1 km</w:t>
      </w:r>
      <w:r>
        <w:rPr>
          <w:vertAlign w:val="superscript"/>
        </w:rPr>
        <w:t xml:space="preserve">2</w:t>
      </w:r>
      <w:r>
        <w:t xml:space="preserve">) study in the H. J. Andrews Experimental Forest on the west coast of Oregon, CA. While the same magnitude of change in DOC was not measured in the Leech WSA, the methods used by Hood et al</w:t>
      </w:r>
      <w:r>
        <w:t xml:space="preserve"> </w:t>
      </w:r>
      <w:r>
        <w:t xml:space="preserve">(</w:t>
      </w:r>
      <w:hyperlink w:anchor="ref-Hood2006">
        <w:r>
          <w:rPr>
            <w:rStyle w:val="Hyperlink"/>
          </w:rPr>
          <w:t xml:space="preserve">2006</w:t>
        </w:r>
      </w:hyperlink>
      <w:r>
        <w:t xml:space="preserve">)</w:t>
      </w:r>
      <w:r>
        <w:t xml:space="preserve"> </w:t>
      </w:r>
      <w:r>
        <w:t xml:space="preserve">included continuous monitoring as opposed to this study which quantified discrete samples. It’s possible that the changes in DOC that were not captured (i.e. in the stage between vertically staggered Rack bottles) could have shown greater deviation, or possibly, the magnitude of change in the Leech WSA was simply lower than in H.J. Andrews.</w:t>
      </w:r>
    </w:p>
    <w:p>
      <w:pPr>
        <w:pStyle w:val="BodyText"/>
      </w:pPr>
      <w:r>
        <w:t xml:space="preserve"> </w:t>
      </w:r>
    </w:p>
    <w:p>
      <w:pPr>
        <w:pStyle w:val="BodyText"/>
      </w:pPr>
      <w:r>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streams were hydrologically connected to a rich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w:t>
      </w:r>
    </w:p>
    <w:p>
      <w:pPr>
        <w:pStyle w:val="BodyText"/>
      </w:pPr>
      <w:r>
        <w:t xml:space="preserve"> </w:t>
      </w:r>
    </w:p>
    <w:p>
      <w:pPr>
        <w:pStyle w:val="BodyText"/>
      </w:pPr>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crk and Leech-head had the same proportions of samples with common maxima and minima of DOC and stage. The observed patterns of NOM concentration with stage changed across the wet season. Peak stage was more often associated with minimal DOC early in the wet season, whereas DOC tended to peak with stage (or close to peak stage) later in the wet season. The observed temporal change in NOM concentration is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w:t>
      </w:r>
    </w:p>
    <w:p>
      <w:pPr>
        <w:pStyle w:val="SourceCode"/>
      </w:pPr>
      <w:r>
        <w:rPr>
          <w:rStyle w:val="VerbatimChar"/>
        </w:rPr>
        <w:t xml:space="preserve">another possible explanation for the concentration-stage threshold could be indicative of a transition point in the event hydrograph from soil water contributions to throughfall and overland flow [@Penna2019].</w:t>
      </w:r>
    </w:p>
    <w:p>
      <w:pPr>
        <w:pStyle w:val="FirstParagraph"/>
      </w:pPr>
      <w:r>
        <w:t xml:space="preserve"> </w:t>
      </w:r>
    </w:p>
    <w:p>
      <w:pPr>
        <w:pStyle w:val="BodyText"/>
      </w:pPr>
      <w:r>
        <w:t xml:space="preserve">The quantity of stream NOM was greatest early in the wet season, with peak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loop for event 11 supported the idea of stream NOM enrichment occurring as antecedent wetness increased (i.e. hydrologic connectivity increased).</w:t>
      </w:r>
    </w:p>
    <w:p>
      <w:pPr>
        <w:pStyle w:val="BodyText"/>
      </w:pPr>
      <w:r>
        <w:t xml:space="preserve"> </w:t>
      </w:r>
    </w:p>
    <w:p>
      <w:pPr>
        <w:pStyle w:val="BodyText"/>
      </w:pPr>
      <w:r>
        <w:t xml:space="preserve">Between the wet and dry season, there were opposite spatial patterns for NOM molecular size and aromatic character. NOM aromaticity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p>
    <w:p>
      <w:pPr>
        <w:pStyle w:val="BodyText"/>
      </w:pPr>
      <w:r>
        <w:t xml:space="preserve"> </w:t>
      </w:r>
    </w:p>
    <w:p>
      <w:pPr>
        <w:pStyle w:val="Heading3"/>
      </w:pPr>
      <w:bookmarkStart w:id="126" w:name="summary-and-future-directions"/>
      <w:r>
        <w:t xml:space="preserve">Summary and future directions</w:t>
      </w:r>
      <w:bookmarkEnd w:id="126"/>
    </w:p>
    <w:p>
      <w:pPr>
        <w:pStyle w:val="FirstParagraph"/>
      </w:pPr>
      <w:r>
        <w:t xml:space="preserve">The parent material in each sub-basin was important for NOM dynamics. Although the precise relationship was not completely resolved, it was evident that a greater proportion of metamorphic parent material corresponded to lower concentrations of less aromatic and less reactive NOM in streams.</w:t>
      </w:r>
    </w:p>
    <w:p>
      <w:pPr>
        <w:pStyle w:val="BodyText"/>
      </w:pPr>
      <w:r>
        <w:t xml:space="preserve"> </w:t>
      </w:r>
    </w:p>
    <w:p>
      <w:pPr>
        <w:pStyle w:val="BodyText"/>
      </w:pPr>
      <w:r>
        <w:t xml:space="preserve">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pPr>
        <w:pStyle w:val="BodyText"/>
      </w:pPr>
      <w:r>
        <w:t xml:space="preserve"> </w:t>
      </w:r>
    </w:p>
    <w:p>
      <w:pPr>
        <w:pStyle w:val="BodyText"/>
      </w:pPr>
      <w:r>
        <w:t xml:space="preserve">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BodyText"/>
      </w:pPr>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w:t>
      </w:r>
      <w:r>
        <w:t xml:space="preserve"> </w:t>
      </w:r>
      <w:r>
        <w:rPr>
          <w:i/>
        </w:rPr>
        <w:t xml:space="preserve">XXXX</w:t>
      </w:r>
      <w:r>
        <w:t xml:space="preserve">) support this possibility. When a weather station is constructed in the West Leech basin, more precise explorations could be conducted with respect to antecedent wetness and water quality dynamics.</w:t>
      </w:r>
    </w:p>
    <w:p>
      <w:pPr>
        <w:pStyle w:val="BodyText"/>
      </w:pPr>
      <w:r>
        <w:t xml:space="preserve"> </w:t>
      </w:r>
    </w:p>
    <w:p>
      <w:pPr>
        <w:pStyle w:val="BodyText"/>
      </w:pPr>
      <w:r>
        <w:t xml:space="preserve">With additional weather data (e.g. humidity), it would be interesting to explore whether the variables associated with increased fire risk or mass wasting might also be predictors for NOM dynamics (or any other water quality parameter of interest). The security of drinking water supply quality depends on weather, which is also a major player in other risks to the forested watershed. With greater understanding of the conditions and characteristics that drive water quality dynamics, an index system could be created that incorporates predictors for drinking water supply quality with those for forested watershed threats (e.g. wildfire or windthrow).</w:t>
      </w:r>
    </w:p>
    <w:p>
      <w:pPr>
        <w:pStyle w:val="Heading2"/>
      </w:pPr>
      <w:bookmarkStart w:id="127" w:name="X817d76ac5082c95eed9959930bb46ce8e101c6f"/>
      <w:r>
        <w:t xml:space="preserve">Linking Research Results with Concepts of Forest Hydrology and Source Water Treatability</w:t>
      </w:r>
      <w:bookmarkEnd w:id="127"/>
    </w:p>
    <w:p>
      <w:pPr>
        <w:pStyle w:val="FirstParagraph"/>
      </w:pPr>
      <w:r>
        <w:t xml:space="preserve"> </w:t>
      </w:r>
    </w:p>
    <w:p>
      <w:pPr>
        <w:pStyle w:val="BodyText"/>
      </w:pPr>
      <w:r>
        <w:t xml:space="preserve">This project characterized aqueous NOM concentration and character ranges across the GVWSA over sixteen months and explored relationships between watershed variables and sample results across the Leech WSA. Chapters two and three tackled the first research question, which focused on method refinement for measuring variability of aqueous NOM. Spatiotemporal NOM data were collected through (1) six sub-basin sites equipped with vertical racks which logged river stage, air and water temperature at 10-minute intervals, and passively collected whole water samples during stormflow on rising limbs of the hydrograph; and (2) twelve sites, including the six sub-basin sites, were sampled synoptically every two to four weeks.</w:t>
      </w:r>
    </w:p>
    <w:p>
      <w:pPr>
        <w:pStyle w:val="BodyText"/>
      </w:pPr>
      <w:r>
        <w:t xml:space="preserve"> </w:t>
      </w:r>
    </w:p>
    <w:p>
      <w:pPr>
        <w:pStyle w:val="BodyText"/>
      </w:pPr>
      <w:r>
        <w:t xml:space="preserve">Results from twelve sites across the GVWSA were used to assess broad spatial and temporal patterns in stream NOM dynamics (Chapter 3). More in-depth analyses were completed for six of those sites which were equipped with vertical sampling racks (Chapter 4). Relationships between sample results and watershed characteristics and sampling conditions were evaluated to identify drivers for changes in NOM concentration and character across the Leech WSA (~96 km</w:t>
      </w:r>
      <w:r>
        <w:rPr>
          <w:vertAlign w:val="superscript"/>
        </w:rPr>
        <w:t xml:space="preserve">2</w:t>
      </w:r>
      <w:r>
        <w:t xml:space="preserve">) and it’s nested catchments (ranging in size from 9.6 to 37 km</w:t>
      </w:r>
      <w:r>
        <w:rPr>
          <w:vertAlign w:val="superscript"/>
        </w:rPr>
        <w:t xml:space="preserve">2</w:t>
      </w:r>
      <w:r>
        <w:t xml:space="preserve">).</w:t>
      </w:r>
    </w:p>
    <w:p>
      <w:pPr>
        <w:pStyle w:val="BodyText"/>
      </w:pPr>
      <w:r>
        <w:t xml:space="preserve"> </w:t>
      </w:r>
    </w:p>
    <w:p>
      <w:pPr>
        <w:pStyle w:val="BodyText"/>
      </w:pPr>
      <w:r>
        <w:t xml:space="preserve">This chapter summarizes research results from Chapters two to four, and provides context for how those results can be used to inform continued water quality monitoring and watershed management planning for future supplemental drinking water supply via inter-basin transfers. 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3"/>
      </w:pPr>
      <w:bookmarkStart w:id="128" w:name="recap-and-synopsis-of-results"/>
      <w:r>
        <w:t xml:space="preserve">Recap and synopsis of results</w:t>
      </w:r>
      <w:bookmarkEnd w:id="128"/>
    </w:p>
    <w:p>
      <w:pPr>
        <w:pStyle w:val="FirstParagraph"/>
      </w:pPr>
      <w:r>
        <w:t xml:space="preserve">Vertical Racks for passive event rising limb event hydrograph sampling were coupled with synoptic Grab sampling campaigns to measuring water quality changes over 16 months, through events, and across the GVWSA. A challenge of Vertical Rack sampling is that high water can prohibit safe retrieval of collected samples from the Racks. Coupling continuously recorded stage with manually recorded siphon bottle heights allowed for calculation of sample hold-times and quality control measures for samples that had exceeded an acceptable holding time (Chapter 2). Siphon sampling by Vertical Racks is currently limited to the rising hydrograph limb, but the combination of synoptic Grab sampling with and Rack sampling achieved good representation of reliable samples across the hydrograph.</w:t>
      </w:r>
    </w:p>
    <w:p>
      <w:pPr>
        <w:pStyle w:val="BodyText"/>
      </w:pPr>
      <w:r>
        <w:t xml:space="preserve"> </w:t>
      </w:r>
    </w:p>
    <w:p>
      <w:pPr>
        <w:pStyle w:val="BodyText"/>
      </w:pPr>
      <w:r>
        <w:t xml:space="preserve">Stream water samples were collected from across the Greater Victoria Water Supply Area (GVWSA) and aqueous natural organic matter (NOM) was evaluated for quantity and quality. Quantifying the organic carbon that forms NOM’s backbone is a proxy for the quantity of complex organic assemblies that comprises NOM. The molecular structure of NOM (i.e., it’s quality) can vary from large, highly aromatic compounds to smaller aliphatic molecules and differences can be attributed to the source material. Terrestrial humic substances (i.e. allochthonous NOM) tends to be higher molecular weight, larger and more aromatic in structure; while in-stream sources of NOM (i.e. autochthonous NOM), such as algae, are typically more aliphatic in structure. In this research, the quantity of aqueous NOM was measured as the concentration of dissolved organic carbon (DOC) in each sample. The molecular quality of NOM was assessed by UV-Vis spectrophotometry. The specific absorbance coefficient at 254 nm wavelength (SAC</w:t>
      </w:r>
      <w:r>
        <w:rPr>
          <w:vertAlign w:val="subscript"/>
        </w:rPr>
        <w:t xml:space="preserve">254</w:t>
      </w:r>
      <w:r>
        <w:t xml:space="preserve">) was used as an indicator of NOM molecular aromaticity and reactivity (Appendix VVVVVV;</w:t>
      </w:r>
      <w:r>
        <w:t xml:space="preserve"> </w:t>
      </w:r>
      <w:r>
        <w:t xml:space="preserve">Weishaar et al. (</w:t>
      </w:r>
      <w:hyperlink w:anchor="ref-Weishaar2003">
        <w:r>
          <w:rPr>
            <w:rStyle w:val="Hyperlink"/>
          </w:rPr>
          <w:t xml:space="preserve">2003</w:t>
        </w:r>
      </w:hyperlink>
      <w:r>
        <w:t xml:space="preserve">)</w:t>
      </w:r>
      <w:r>
        <w:t xml:space="preserve">;</w:t>
      </w:r>
      <w:r>
        <w:t xml:space="preserve"> </w:t>
      </w:r>
      <w:r>
        <w:t xml:space="preserve">Vidon, Wagner, and Soyeux (</w:t>
      </w:r>
      <w:hyperlink w:anchor="ref-Vidon2008">
        <w:r>
          <w:rPr>
            <w:rStyle w:val="Hyperlink"/>
          </w:rPr>
          <w:t xml:space="preserve">2008</w:t>
        </w:r>
      </w:hyperlink>
      <w:r>
        <w:t xml:space="preserve">)</w:t>
      </w:r>
      <w:r>
        <w:t xml:space="preserve">;</w:t>
      </w:r>
      <w:r>
        <w:t xml:space="preserve"> </w:t>
      </w:r>
      <w:r>
        <w:t xml:space="preserve">Abbott et al. (</w:t>
      </w:r>
      <w:hyperlink w:anchor="ref-Abbott2018">
        <w:r>
          <w:rPr>
            <w:rStyle w:val="Hyperlink"/>
          </w:rPr>
          <w:t xml:space="preserve">2018</w:t>
        </w:r>
      </w:hyperlink>
      <w:r>
        <w:t xml:space="preserve">)</w:t>
      </w:r>
      <w:r>
        <w:t xml:space="preserve">), and the quotient of SAC at 250 nm and 365 nm (E</w:t>
      </w:r>
      <w:r>
        <w:rPr>
          <w:vertAlign w:val="subscript"/>
        </w:rPr>
        <w:t xml:space="preserve">2</w:t>
      </w:r>
      <w:r>
        <w:t xml:space="preserve">:E</w:t>
      </w:r>
      <w:r>
        <w:rPr>
          <w:vertAlign w:val="subscript"/>
        </w:rPr>
        <w:t xml:space="preserve">3</w:t>
      </w:r>
      <w:r>
        <w:t xml:space="preserve">) was used to indicate (inversely)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Quantities and qualities of NOM vary over space and through time; understanding the spatiotemporal patterns of concentrations and character can help to inform source drinking water management decisions by providing insights to the origins, transport and fate of aqueous NOM and other parameters associated with it. For example, NOM can bind and transport metals in solution</w:t>
      </w:r>
      <w:r>
        <w:t xml:space="preserve"> </w:t>
      </w:r>
      <w:r>
        <w:t xml:space="preserve">(LaZerte</w:t>
      </w:r>
      <w:r>
        <w:t xml:space="preserve"> </w:t>
      </w:r>
      <w:hyperlink w:anchor="ref-LaZerte1991">
        <w:r>
          <w:rPr>
            <w:rStyle w:val="Hyperlink"/>
          </w:rPr>
          <w:t xml:space="preserve">1991</w:t>
        </w:r>
      </w:hyperlink>
      <w:r>
        <w:t xml:space="preserve">; Aiken, Hsu-Kim, and Ryan</w:t>
      </w:r>
      <w:r>
        <w:t xml:space="preserve"> </w:t>
      </w:r>
      <w:hyperlink w:anchor="ref-Aiken2011">
        <w:r>
          <w:rPr>
            <w:rStyle w:val="Hyperlink"/>
          </w:rPr>
          <w:t xml:space="preserve">2011</w:t>
        </w:r>
      </w:hyperlink>
      <w:r>
        <w:t xml:space="preserve">)</w:t>
      </w:r>
      <w:r>
        <w:t xml:space="preserve"> </w:t>
      </w:r>
      <w:r>
        <w:t xml:space="preserve">and DOC was positively correlated (Appendix XXXX) to the concentrations of total mercury (r=1.00), iron (r=0.83), manganese (r=0.77), and aluminum (r=0.63) as well as (to a lesser degree) barium (r=0.47), copper (0.42), and arsenic (r=0.33). Additionally, NOM in drinking source water supply is partially responsible for the formation of disinfection by-products (DBPs) in treated drinking water (Appendix NNNNN;</w:t>
      </w:r>
      <w:r>
        <w:t xml:space="preserve"> </w:t>
      </w:r>
      <w:r>
        <w:t xml:space="preserve">Yang et al. (</w:t>
      </w:r>
      <w:hyperlink w:anchor="ref-Yang2015">
        <w:r>
          <w:rPr>
            <w:rStyle w:val="Hyperlink"/>
          </w:rPr>
          <w:t xml:space="preserve">2015</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w:t>
      </w:r>
      <w:r>
        <w:t xml:space="preserve"> </w:t>
      </w:r>
      <w:r>
        <w:t xml:space="preserve">Beauchamp et al. (</w:t>
      </w:r>
      <w:hyperlink w:anchor="ref-Beauchamp2018">
        <w:r>
          <w:rPr>
            <w:rStyle w:val="Hyperlink"/>
          </w:rPr>
          <w:t xml:space="preserve">2018</w:t>
        </w:r>
      </w:hyperlink>
      <w:r>
        <w:t xml:space="preserve">)</w:t>
      </w:r>
      <w:r>
        <w:t xml:space="preserve">). SAC</w:t>
      </w:r>
      <w:r>
        <w:rPr>
          <w:vertAlign w:val="subscript"/>
        </w:rPr>
        <w:t xml:space="preserve">254</w:t>
      </w:r>
      <w:r>
        <w:t xml:space="preserve"> </w:t>
      </w:r>
      <w:r>
        <w:t xml:space="preserve">was used as an indicator of DBP formation potential (r=0.68; Appendix VVVVVV).</w:t>
      </w:r>
    </w:p>
    <w:p>
      <w:pPr>
        <w:pStyle w:val="BodyText"/>
      </w:pPr>
      <w:r>
        <w:t xml:space="preserve"> </w:t>
      </w:r>
    </w:p>
    <w:p>
      <w:pPr>
        <w:pStyle w:val="BodyText"/>
      </w:pPr>
      <w:r>
        <w:t xml:space="preserve">Because NOM is tied to transport of contaminants and drinking water treatment challenges, understanding spatiotemporal dynamics of this master variable is important for maintaining drinking water security and mitigating treatment challenges.</w:t>
      </w:r>
    </w:p>
    <w:p>
      <w:pPr>
        <w:pStyle w:val="BodyText"/>
      </w:pPr>
      <w:r>
        <w:t xml:space="preserve"> </w:t>
      </w:r>
    </w:p>
    <w:p>
      <w:pPr>
        <w:pStyle w:val="Heading4"/>
      </w:pPr>
      <w:bookmarkStart w:id="129" w:name="Xee2786d63f8e7b0900ac25ec568c325aeb499d2"/>
      <w:r>
        <w:t xml:space="preserve">Spatiotemporal dynamics in the quantity and quality of NOM</w:t>
      </w:r>
      <w:bookmarkEnd w:id="129"/>
    </w:p>
    <w:p>
      <w:pPr>
        <w:pStyle w:val="FirstParagraph"/>
      </w:pPr>
      <w:r>
        <w:t xml:space="preserve">The sampling period spanned sixteen months, from October 2018 to February 2020. Seasons were defined as</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and were distinguished by the activity of passive Vertical Rack sample collection. The wet season was characterized by conditions that generated event responses which triggered rising-stage sample collection in the six Leech WSA monitoring site streams (Chapter 2). Based on this definition of seasons, Vertical Racks collected rising limb samples only in the wet season (fall/winter/spring) while Grab samples were collected throughout the entire sampling period. During events, Grab samples were collected prior to stream rise, on the falling limb or between events, but not on the rising limb (not by design, but by happenstance). Sampling began after the start of the 2018/2019 wet season, which extended until mid-May 2019. The dry season spanned from mid-May to late September 2019, which is when the 2019/2020 wet season began.</w:t>
      </w:r>
    </w:p>
    <w:p>
      <w:pPr>
        <w:pStyle w:val="BodyText"/>
      </w:pPr>
      <w:r>
        <w:t xml:space="preserve"> </w:t>
      </w:r>
    </w:p>
    <w:p>
      <w:pPr>
        <w:pStyle w:val="BodyText"/>
      </w:pPr>
      <w:r>
        <w:t xml:space="preserve">Results showed spatiotemporal patterns that were predicted by the river continuum concept (RCC), including higher NOM levels in headwaters with longitudinal reduction along the reach, and a seasonal character shift from autochthonous to allochthonous source quality. In both wet and dry seasons, DOC concentrations decreased from low to higher order streams, but NOM quality had opposite longitudinal patterns in each season. From low to high order streams, there was an increase in aromaticity and molecular size (measured as E</w:t>
      </w:r>
      <w:r>
        <w:rPr>
          <w:vertAlign w:val="subscript"/>
        </w:rPr>
        <w:t xml:space="preserve">2</w:t>
      </w:r>
      <w:r>
        <w:t xml:space="preserve">:E</w:t>
      </w:r>
      <w:r>
        <w:rPr>
          <w:vertAlign w:val="subscript"/>
        </w:rPr>
        <w:t xml:space="preserve">3</w:t>
      </w:r>
      <w:r>
        <w:t xml:space="preserve">) during the dry season and a decrease in the wet season. The wet seasons decrease in NOM aromaticity was expected due to dilution effects along the stream reaches. In contrast, it was not expected that higher order streams would have more aromatic NOM than lower order streams during the dry season. During downstream transport at low flows, is was expected that NOM would decrease in aromaticity due to abiotic or biotic oxidation (e.g. photodegradation and/or heterotrophic processing).</w:t>
      </w:r>
    </w:p>
    <w:p>
      <w:pPr>
        <w:pStyle w:val="BodyText"/>
      </w:pPr>
      <w:r>
        <w:t xml:space="preserve"> </w:t>
      </w:r>
    </w:p>
    <w:p>
      <w:pPr>
        <w:pStyle w:val="BodyText"/>
      </w:pPr>
      <w:r>
        <w:t xml:space="preserve">The observed elevation in downstream NOM aromaticity and molecular size (higher SAC</w:t>
      </w:r>
      <w:r>
        <w:rPr>
          <w:vertAlign w:val="subscript"/>
        </w:rPr>
        <w:t xml:space="preserve">254</w:t>
      </w:r>
      <w:r>
        <w:t xml:space="preserve"> </w:t>
      </w:r>
      <w:r>
        <w:t xml:space="preserve">and lower E</w:t>
      </w:r>
      <w:r>
        <w:rPr>
          <w:vertAlign w:val="subscript"/>
        </w:rPr>
        <w:t xml:space="preserve">2</w:t>
      </w:r>
      <w:r>
        <w:t xml:space="preserve">:E</w:t>
      </w:r>
      <w:r>
        <w:rPr>
          <w:vertAlign w:val="subscript"/>
        </w:rPr>
        <w:t xml:space="preserve">3</w:t>
      </w:r>
      <w:r>
        <w:t xml:space="preserve">) during the dry season could be due to UV-Vis interference: like chromophoric NOM, the target analyte, other dissolved inorganic species (e.g. iron, nitrate, nitrite, bromide) also absorb light at wavelengths around 254 nm</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Concentrations of iron and nitrogen species were not measured, therefore their interference cannot be confirmed; however, full scan absorption data (not shown here) displayed gradual decrease in absorbance with increasing wavelength with no major spikes, suggesting few interferences. Therefore, it seems more likely that the spectral indicies were indicative of greater NOM aromaticity at lower reaches in the dry months.</w:t>
      </w:r>
    </w:p>
    <w:p>
      <w:pPr>
        <w:pStyle w:val="BodyText"/>
      </w:pPr>
      <w:r>
        <w:t xml:space="preserve"> </w:t>
      </w:r>
    </w:p>
    <w:p>
      <w:pPr>
        <w:pStyle w:val="BodyText"/>
      </w:pPr>
      <w:r>
        <w:t xml:space="preserve">More araomatic NOM at lower reaches could have been due to humic inputs from NOM-rich tributaries feeding higher order streams, or perhaps in-stream microbial processing of terrestrial organic matter (e.g. leaf litter) generated aqueous humic solutes.</w:t>
      </w:r>
    </w:p>
    <w:p>
      <w:pPr>
        <w:pStyle w:val="BodyText"/>
      </w:pPr>
      <w:r>
        <w:t xml:space="preserve"> </w:t>
      </w:r>
    </w:p>
    <w:p>
      <w:pPr>
        <w:pStyle w:val="Heading2"/>
      </w:pPr>
      <w:bookmarkStart w:id="130" w:name="spatial-stuff"/>
      <w:r>
        <w:t xml:space="preserve">spatial stuff</w:t>
      </w:r>
      <w:bookmarkEnd w:id="130"/>
    </w:p>
    <w:p>
      <w:pPr>
        <w:pStyle w:val="Compact"/>
        <w:numPr>
          <w:numId w:val="1004"/>
          <w:ilvl w:val="0"/>
        </w:numPr>
      </w:pPr>
      <w:r>
        <w:t xml:space="preserve">The site with the second highest DOC range was the West Leech sub-basin (20.85 km2) with mean DOC of 5.8 ± 2.4 mg/L (41% RSD).</w:t>
      </w:r>
    </w:p>
    <w:p>
      <w:pPr>
        <w:pStyle w:val="Compact"/>
        <w:numPr>
          <w:numId w:val="1004"/>
          <w:ilvl w:val="0"/>
        </w:numPr>
      </w:pP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Compact"/>
        <w:numPr>
          <w:numId w:val="1004"/>
          <w:ilvl w:val="0"/>
        </w:numPr>
      </w:pPr>
      <w:r>
        <w:t xml:space="preserve">Spatial NOM patterns showed greater concentrations of more aromatic NOM in sub-basins draining the west of the Leech WSA, with lower concentrations of less aromatic NOM in basins draining from the east.</w:t>
      </w:r>
    </w:p>
    <w:p>
      <w:pPr>
        <w:pStyle w:val="Compact"/>
        <w:numPr>
          <w:numId w:val="1004"/>
          <w:ilvl w:val="0"/>
        </w:numPr>
      </w:pPr>
      <w:r>
        <w:t xml:space="preserve">Spatial variation in fluvial water quality can be attributed to hydrological processes and watershed characteristics, as described by the river continuum concept and the pulse-shunt concept</w:t>
      </w:r>
      <w:r>
        <w:t xml:space="preserve"> </w:t>
      </w:r>
      <w:r>
        <w:t xml:space="preserve">(Vannote et al.</w:t>
      </w:r>
      <w:r>
        <w:t xml:space="preserve"> </w:t>
      </w:r>
      <w:hyperlink w:anchor="ref-Vannote1980">
        <w:r>
          <w:rPr>
            <w:rStyle w:val="Hyperlink"/>
          </w:rPr>
          <w:t xml:space="preserve">1980</w:t>
        </w:r>
      </w:hyperlink>
      <w:r>
        <w:t xml:space="preserve">; Raymond et al.</w:t>
      </w:r>
      <w:r>
        <w:t xml:space="preserve"> </w:t>
      </w:r>
      <w:hyperlink w:anchor="ref-Raymond2016">
        <w:r>
          <w:rPr>
            <w:rStyle w:val="Hyperlink"/>
          </w:rPr>
          <w:t xml:space="preserve">2016</w:t>
        </w:r>
      </w:hyperlink>
      <w:r>
        <w:t xml:space="preserve">)</w:t>
      </w:r>
      <w:r>
        <w:t xml:space="preserve">.</w:t>
      </w:r>
    </w:p>
    <w:p>
      <w:pPr>
        <w:pStyle w:val="Compact"/>
        <w:numPr>
          <w:numId w:val="1004"/>
          <w:ilvl w:val="0"/>
        </w:numPr>
      </w:pPr>
      <w:r>
        <w:t xml:space="preserve">Important watershed characteristics include geomorphic variables, physical impoundments, organic matter inputs and sources, mass transport, solar inputs, and processing by aquatic invertebrates and microbes</w:t>
      </w:r>
      <w:r>
        <w:t xml:space="preserve"> </w:t>
      </w:r>
      <w:r>
        <w:t xml:space="preserve">(Stanley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4"/>
          <w:ilvl w:val="0"/>
        </w:numPr>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w:t>
      </w:r>
    </w:p>
    <w:p>
      <w:pPr>
        <w:pStyle w:val="Compact"/>
        <w:numPr>
          <w:numId w:val="1004"/>
          <w:ilvl w:val="0"/>
        </w:numPr>
      </w:pPr>
      <w:r>
        <w:t xml:space="preserve">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pPr>
        <w:pStyle w:val="Heading2"/>
      </w:pPr>
      <w:bookmarkStart w:id="131" w:name="temporal-stuff"/>
      <w:r>
        <w:t xml:space="preserve">temporal stuff</w:t>
      </w:r>
      <w:bookmarkEnd w:id="131"/>
    </w:p>
    <w:p>
      <w:pPr>
        <w:pStyle w:val="Compact"/>
        <w:numPr>
          <w:numId w:val="1005"/>
          <w:ilvl w:val="0"/>
        </w:numPr>
      </w:pPr>
      <w:r>
        <w:t xml:space="preserve">Mean DOC was the same, on average, in the wet and dry seasons (6 ± 3 mg/L).</w:t>
      </w:r>
    </w:p>
    <w:p>
      <w:pPr>
        <w:pStyle w:val="Compact"/>
        <w:numPr>
          <w:numId w:val="1005"/>
          <w:ilvl w:val="0"/>
        </w:numPr>
      </w:pPr>
      <w:r>
        <w:t xml:space="preserve">seasonal shift from autochthonous NOM sources in the dry season to allochthonous NOM sources in the wet season</w:t>
      </w:r>
    </w:p>
    <w:p>
      <w:pPr>
        <w:pStyle w:val="Compact"/>
        <w:numPr>
          <w:numId w:val="1005"/>
          <w:ilvl w:val="0"/>
        </w:numPr>
      </w:pPr>
      <w:r>
        <w:t xml:space="preserve">In the wet season, when hydrologic connectivity was greatest, the West Leech sub-basin had aromaticity and molecular size comparable to that of the wetland and lake-dominated Weeks crk sub-basin; though in the dry season, Weeks crk maintained highly aromatic character of stream NOM while the other sub-basins had lower molecular wight, less aromatic NOM than was found at the Tunnel site. The dry season spatial pattern of NOM quality was not expected. Based on the RCC, it was expected that there would be a spatial reduction in NOM character from headwaters to mouth. However, in the dry season, samples collected at the highest order stream (at the future point of diversion) were more aromatic in NOM character than all of the nested catchments except for Weeks crk, which maintained highly aromatic NOM throughout the year due to proximity to the wetlands of Weeks Lake.</w:t>
      </w:r>
      <w:r>
        <w:br/>
      </w:r>
    </w:p>
    <w:p>
      <w:pPr>
        <w:pStyle w:val="Compact"/>
        <w:numPr>
          <w:numId w:val="1005"/>
          <w:ilvl w:val="0"/>
        </w:numPr>
      </w:pPr>
      <w:r>
        <w:t xml:space="preserve">storm responses: early in the wet season there was a decrease in NOM concentration with increasing flows (higher stage), and as the wet season progresses, stream NOM concentration and aromaticity increased with increasing flows.</w:t>
      </w:r>
    </w:p>
    <w:p>
      <w:pPr>
        <w:pStyle w:val="Compact"/>
        <w:numPr>
          <w:numId w:val="1005"/>
          <w:ilvl w:val="0"/>
        </w:numPr>
      </w:pPr>
      <w:r>
        <w:t xml:space="preserve">The river continuum concept (RCC) explains temporal changes in NOM character through variable mobilization of source material and biogeochemical processing…</w:t>
      </w:r>
      <w:r>
        <w:t xml:space="preserve"> </w:t>
      </w:r>
      <w:r>
        <w:t xml:space="preserve">predicts a temporal shift in NOM character from autochthonous (e.g. algal) to allochthonous (e.g. humic material) sources, and a spatial reduction in NOM molecular diversity from headwaters to river mouth.</w:t>
      </w:r>
    </w:p>
    <w:p>
      <w:pPr>
        <w:pStyle w:val="Compact"/>
        <w:numPr>
          <w:numId w:val="1005"/>
          <w:ilvl w:val="0"/>
        </w:numPr>
      </w:pPr>
      <w:r>
        <w:t xml:space="preserve">Mean DOC among the six sites was essentially the same in both the wet and dry seasons (Chapter 3), but spatial patterns differed between the seasons. In the dry season, aqueous NOM aromaticity increased from upstream to downstream monitoring sites; while the wet season showed effects of dilution on both the quantity and quality of NOM. These seasonal differences support both a shift in NOM source material and a shift from NOM processing in the dry season and transport/dilution effects in the wet season.</w:t>
      </w:r>
    </w:p>
    <w:p>
      <w:pPr>
        <w:pStyle w:val="Heading5"/>
      </w:pPr>
      <w:bookmarkStart w:id="132" w:name="drivers-for-variation"/>
      <w:r>
        <w:t xml:space="preserve">Drivers for variation</w:t>
      </w:r>
      <w:bookmarkEnd w:id="132"/>
    </w:p>
    <w:p>
      <w:pPr>
        <w:pStyle w:val="FirstParagraph"/>
      </w:pPr>
      <w:r>
        <w:t xml:space="preserve">Data from six sub-basin stream monitoring sites in the Leech WSA were used to assess sampling conditions and watershed characteristic variable importance for predicting NOM concentration and character.</w:t>
      </w:r>
    </w:p>
    <w:p>
      <w:pPr>
        <w:pStyle w:val="Compact"/>
        <w:numPr>
          <w:numId w:val="1006"/>
          <w:ilvl w:val="0"/>
        </w:numPr>
      </w:pPr>
      <w:r>
        <w:t xml:space="preserve">Aqueous NOM dynamics were largely driven by warm and wet conditions across the Leech WSA.</w:t>
      </w:r>
    </w:p>
    <w:p>
      <w:pPr>
        <w:pStyle w:val="Compact"/>
        <w:numPr>
          <w:numId w:val="1006"/>
          <w:ilvl w:val="0"/>
        </w:numPr>
      </w:pPr>
      <w:r>
        <w:t xml:space="preserve">wetness connecting</w:t>
      </w:r>
    </w:p>
    <w:p>
      <w:pPr>
        <w:pStyle w:val="Compact"/>
        <w:numPr>
          <w:numId w:val="1006"/>
          <w:ilvl w:val="0"/>
        </w:numPr>
      </w:pPr>
      <w:r>
        <w:t xml:space="preserve">Watershed characteristics, such as sub-basin parent materials and forest structure (age and logging history) are likely responsible for some spatial variation in stream water quality. In conjunction with physical characteristics of the watershed, hydrologic conditions are primarily responsible for temporal variations observeds in stream water quality.</w:t>
      </w:r>
    </w:p>
    <w:p>
      <w:pPr>
        <w:pStyle w:val="Compact"/>
        <w:numPr>
          <w:numId w:val="1006"/>
          <w:ilvl w:val="0"/>
        </w:numPr>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Compact"/>
        <w:numPr>
          <w:numId w:val="1006"/>
          <w:ilvl w:val="0"/>
        </w:numPr>
      </w:pPr>
      <w:r>
        <w:t xml:space="preserve">this indicates that greater saturation, which may be indicative of the connectivity between streams and the terrestrial environment, was more important than precipitation inputs in general.</w:t>
      </w:r>
    </w:p>
    <w:p>
      <w:pPr>
        <w:pStyle w:val="FirstParagraph"/>
      </w:pPr>
      <w:r>
        <w:t xml:space="preserve">… It appeared that when streams were near 75% of their maximum stage (therefore, approximately 0.75 of peak flow) humic source pools reached maximum connectivity with the streams… this could be explained by…</w:t>
      </w:r>
      <w:r>
        <w:t xml:space="preserve"> </w:t>
      </w:r>
      <w:r>
        <w:t xml:space="preserve">* the apparent stage threshold for peak DOC (~0.75 of max sampling stage) suggests a point at which allochthonous (humic) NOM supply reached maximum connectivity with the streams. This threshold could also indicate a point at with the event hydrograph was separated from soil water contributions and throughflow to overland flow and throughfall</w:t>
      </w:r>
      <w:r>
        <w:t xml:space="preserve"> </w:t>
      </w:r>
      <w:r>
        <w:t xml:space="preserve">(Penna and Meerveld</w:t>
      </w:r>
      <w:r>
        <w:t xml:space="preserve"> </w:t>
      </w:r>
      <w:hyperlink w:anchor="ref-Penna2019">
        <w:r>
          <w:rPr>
            <w:rStyle w:val="Hyperlink"/>
          </w:rPr>
          <w:t xml:space="preserve">2019</w:t>
        </w:r>
      </w:hyperlink>
      <w:r>
        <w:t xml:space="preserve">)</w:t>
      </w:r>
      <w:r>
        <w:t xml:space="preserve">.</w:t>
      </w:r>
    </w:p>
    <w:p>
      <w:pPr>
        <w:pStyle w:val="Heading3"/>
      </w:pPr>
      <w:bookmarkStart w:id="133" w:name="drinking-water-supply-lens"/>
      <w:r>
        <w:t xml:space="preserve">Drinking water supply lens</w:t>
      </w:r>
      <w:bookmarkEnd w:id="133"/>
    </w:p>
    <w:p>
      <w:pPr>
        <w:pStyle w:val="FirstParagraph"/>
      </w:pPr>
      <w:r>
        <w:t xml:space="preserve">Research Question 3. What are the implications for watershed management and future drinking water supply?</w:t>
      </w:r>
    </w:p>
    <w:p>
      <w:pPr>
        <w:pStyle w:val="BodyText"/>
      </w:pPr>
      <w:r>
        <w:t xml:space="preserve">–&gt; Provide context of how results can be used to inform watershed management planning for wildfire reduction strategies and design of continued water quality monitoring for future inter-basin transfers.</w:t>
      </w:r>
    </w:p>
    <w:p>
      <w:pPr>
        <w:pStyle w:val="Compact"/>
        <w:numPr>
          <w:numId w:val="1007"/>
          <w:ilvl w:val="0"/>
        </w:numPr>
      </w:pPr>
      <w:r>
        <w:t xml:space="preserve">Although DOC exceeded source water guidelines for TOC (4 mg/L), … RESERVOIR EFFECTS</w:t>
      </w:r>
    </w:p>
    <w:p>
      <w:pPr>
        <w:pStyle w:val="Compact"/>
        <w:numPr>
          <w:numId w:val="1007"/>
          <w:ilvl w:val="0"/>
        </w:numPr>
      </w:pPr>
      <w:r>
        <w:t xml:space="preserve">establishing connectivity among nested catchments as a baseline for experimental treatments (future)</w:t>
      </w:r>
    </w:p>
    <w:p>
      <w:pPr>
        <w:pStyle w:val="Compact"/>
        <w:numPr>
          <w:numId w:val="1007"/>
          <w:ilvl w:val="0"/>
        </w:numPr>
      </w:pPr>
      <w:r>
        <w:t xml:space="preserve">conflicting objectives and competing values (Peter Duinker’s work)</w:t>
      </w:r>
    </w:p>
    <w:p>
      <w:pPr>
        <w:pStyle w:val="Compact"/>
        <w:numPr>
          <w:numId w:val="1008"/>
          <w:ilvl w:val="1"/>
        </w:numPr>
      </w:pPr>
      <w:r>
        <w:t xml:space="preserve">managing temperate forests for timber removes carbon pools, managing for protection may increase the carbon, thus protection does not necessarily improve water quality.</w:t>
      </w:r>
    </w:p>
    <w:p>
      <w:pPr>
        <w:pStyle w:val="Compact"/>
        <w:numPr>
          <w:numId w:val="1008"/>
          <w:ilvl w:val="1"/>
        </w:numPr>
      </w:pPr>
      <w:r>
        <w:t xml:space="preserve">timber / carbon sequestration / water / biodiversity</w:t>
      </w:r>
    </w:p>
    <w:p>
      <w:pPr>
        <w:pStyle w:val="Compact"/>
        <w:numPr>
          <w:numId w:val="1007"/>
          <w:ilvl w:val="0"/>
        </w:numPr>
      </w:pPr>
      <w:r>
        <w:t xml:space="preserve">source water quality in rivers is unlikely to reflect the water at the intake tower</w:t>
      </w:r>
    </w:p>
    <w:p>
      <w:pPr>
        <w:pStyle w:val="Compact"/>
        <w:numPr>
          <w:numId w:val="1009"/>
          <w:ilvl w:val="1"/>
        </w:numPr>
      </w:pPr>
      <w:r>
        <w:t xml:space="preserve">reservoir residence times</w:t>
      </w:r>
    </w:p>
    <w:p>
      <w:pPr>
        <w:pStyle w:val="Compact"/>
        <w:numPr>
          <w:numId w:val="1009"/>
          <w:ilvl w:val="1"/>
        </w:numPr>
      </w:pPr>
      <w:r>
        <w:t xml:space="preserve">photodegradation</w:t>
      </w:r>
    </w:p>
    <w:p>
      <w:pPr>
        <w:pStyle w:val="Compact"/>
        <w:numPr>
          <w:numId w:val="1009"/>
          <w:ilvl w:val="1"/>
        </w:numPr>
      </w:pPr>
      <w:r>
        <w:t xml:space="preserve">physiochemcial reactions and changes</w:t>
      </w:r>
    </w:p>
    <w:p>
      <w:pPr>
        <w:pStyle w:val="Compact"/>
        <w:numPr>
          <w:numId w:val="1009"/>
          <w:ilvl w:val="1"/>
        </w:numPr>
      </w:pPr>
      <w:r>
        <w:t xml:space="preserve">biodegradation // transformation // bioproduction of NOM</w:t>
      </w:r>
    </w:p>
    <w:p>
      <w:pPr>
        <w:pStyle w:val="Compact"/>
        <w:numPr>
          <w:numId w:val="1009"/>
          <w:ilvl w:val="1"/>
        </w:numPr>
      </w:pPr>
      <w:r>
        <w:t xml:space="preserve">the rivers introduce new material and new conditions (e.g. different temperatures, dissolved oxygen, carbonate for buffering or organic acids altering pH, new microbiota) the</w:t>
      </w:r>
    </w:p>
    <w:p>
      <w:pPr>
        <w:pStyle w:val="Compact"/>
        <w:numPr>
          <w:numId w:val="1009"/>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9"/>
          <w:ilvl w:val="1"/>
        </w:numPr>
      </w:pPr>
      <w:r>
        <w:t xml:space="preserve">UV degradation is likely in lakes</w:t>
      </w:r>
    </w:p>
    <w:p>
      <w:pPr>
        <w:pStyle w:val="Compact"/>
        <w:numPr>
          <w:numId w:val="1009"/>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Heading4"/>
      </w:pPr>
      <w:bookmarkStart w:id="134" w:name="caveats-and-limitations"/>
      <w:r>
        <w:t xml:space="preserve">Caveats and limitations</w:t>
      </w:r>
      <w:bookmarkEnd w:id="134"/>
    </w:p>
    <w:p>
      <w:pPr>
        <w:pStyle w:val="FirstParagraph"/>
      </w:pPr>
      <w:r>
        <w:t xml:space="preserve">It was assumed that the UV-Vis spectral absorbances for each stream water sample were due to the natural organic matter content, however it is possible that other water quality variables could cause interference. For example, dissolved or colloidal nitrate, nitrite and iron species can absorb light at 250 nm, 254 nm or 365 nm, the wavelengths common to NOM absorption</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w:t>
      </w:r>
    </w:p>
    <w:p>
      <w:pPr>
        <w:pStyle w:val="BodyText"/>
      </w:pPr>
      <w:r>
        <w:t xml:space="preserve"> </w:t>
      </w:r>
    </w:p>
    <w:p>
      <w:pPr>
        <w:pStyle w:val="Heading3"/>
      </w:pPr>
      <w:bookmarkStart w:id="135" w:name="concluding-remarks"/>
      <w:r>
        <w:t xml:space="preserve">Concluding remarks</w:t>
      </w:r>
      <w:bookmarkEnd w:id="135"/>
    </w:p>
    <w:p>
      <w:pPr>
        <w:pStyle w:val="FirstParagraph"/>
      </w:pPr>
      <w:r>
        <w:t xml:space="preserve">Across the Leech Water Supply Area (LWSA), the timing of changes in temperature, river response and DOC concentrations and character were synchronized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Heading1"/>
      </w:pPr>
      <w:bookmarkStart w:id="136" w:name="references"/>
      <w:r>
        <w:t xml:space="preserve">References</w:t>
      </w:r>
      <w:bookmarkEnd w:id="136"/>
    </w:p>
    <w:p>
      <w:pPr>
        <w:pStyle w:val="Heading1"/>
      </w:pPr>
      <w:bookmarkStart w:id="137" w:name="appendices"/>
      <w:r>
        <w:t xml:space="preserve">Appendices</w:t>
      </w:r>
      <w:bookmarkEnd w:id="137"/>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8" w:name="example-calculations"/>
      <w:r>
        <w:t xml:space="preserve">Example calculations</w:t>
      </w:r>
      <w:bookmarkEnd w:id="138"/>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39" w:name="forwater-crd"/>
      <w:r>
        <w:t xml:space="preserve">forWater CRD</w:t>
      </w:r>
      <w:bookmarkEnd w:id="139"/>
    </w:p>
    <w:p>
      <w:pPr>
        <w:pStyle w:val="Heading7"/>
      </w:pPr>
      <w:bookmarkStart w:id="140" w:name="Xe94dc613e79104e648a7e62ba8d389c33fd5369"/>
      <w:r>
        <w:t xml:space="preserve">NSERC forWater Network &amp; the Capital Regional District</w:t>
      </w:r>
      <w:bookmarkEnd w:id="140"/>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1" w:name="weeks-creek-site-1"/>
      <w:r>
        <w:t xml:space="preserve">Weeks Creek (site 1)</w:t>
      </w:r>
      <w:bookmarkEnd w:id="141"/>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2" w:name="chris-creek-site-2"/>
      <w:r>
        <w:t xml:space="preserve">Chris Creek (site 2)</w:t>
      </w:r>
      <w:bookmarkEnd w:id="142"/>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3" w:name="leech-head-site-3"/>
      <w:r>
        <w:t xml:space="preserve">Leech Head (site 3)</w:t>
      </w:r>
      <w:bookmarkEnd w:id="143"/>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4" w:name="cragg-creek-site-4"/>
      <w:r>
        <w:t xml:space="preserve">Cragg Creek (site 4)</w:t>
      </w:r>
      <w:bookmarkEnd w:id="144"/>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8: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5"/>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6" w:name="west-leech-site-5"/>
      <w:r>
        <w:t xml:space="preserve">West Leech (site 5)</w:t>
      </w:r>
      <w:bookmarkEnd w:id="146"/>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7" w:name="leech-tunnel-site-6"/>
      <w:r>
        <w:t xml:space="preserve">Leech Tunnel (site 6)</w:t>
      </w:r>
      <w:bookmarkEnd w:id="147"/>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29</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29: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4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49" w:name="metals"/>
      <w:r>
        <w:t xml:space="preserve">Metals</w:t>
      </w:r>
      <w:bookmarkEnd w:id="149"/>
    </w:p>
    <w:p>
      <w:pPr>
        <w:pStyle w:val="Heading8"/>
      </w:pPr>
      <w:bookmarkStart w:id="150" w:name="X4b7b3e6ac6573f953e6980479d08b8ee7c28f75"/>
      <w:r>
        <w:t xml:space="preserve">Metals &amp; DOC: collaborative sampling for Metals on behalf of the CRD</w:t>
      </w:r>
      <w:bookmarkEnd w:id="150"/>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Maxxam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w:t>
      </w:r>
      <w:r>
        <w:t xml:space="preserve"> </w:t>
      </w:r>
      <w:r>
        <w:t xml:space="preserve">30</w:t>
      </w:r>
      <w:r>
        <w:t xml:space="preserve"> </w:t>
      </w:r>
      <w:r>
        <w:t xml:space="preserve">shows DOC with total metals in μg/L, and Figure</w:t>
      </w:r>
      <w:r>
        <w:t xml:space="preserve"> </w:t>
      </w:r>
      <w:r>
        <w:t xml:space="preserve">31</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0: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5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1: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5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2"/>
      </w:pPr>
      <w:bookmarkStart w:id="153" w:name="fwx"/>
      <w:r>
        <w:t xml:space="preserve">FWx</w:t>
      </w:r>
      <w:bookmarkEnd w:id="153"/>
    </w:p>
    <w:p>
      <w:pPr>
        <w:pStyle w:val="Heading8"/>
      </w:pPr>
      <w:bookmarkStart w:id="154" w:name="fwx-stations-in-the-lwsa-ancilary-data"/>
      <w:r>
        <w:t xml:space="preserve">FWx stations in the LWSA: ancilary data</w:t>
      </w:r>
      <w:bookmarkEnd w:id="154"/>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32</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2: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33</w:t>
      </w:r>
      <w:r>
        <w:t xml:space="preserve">).</w:t>
      </w:r>
    </w:p>
    <w:p>
      <w:pPr>
        <w:pStyle w:val="BodyText"/>
      </w:pPr>
      <w:r>
        <w:t xml:space="preserve"> </w:t>
      </w:r>
    </w:p>
    <w:p>
      <w:pPr>
        <w:pStyle w:val="CaptionedFigure"/>
      </w:pPr>
      <w:r>
        <w:drawing>
          <wp:inline>
            <wp:extent cx="5504749" cy="5504749"/>
            <wp:effectExtent b="0" l="0" r="0" t="0"/>
            <wp:docPr descr="Figure 33: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33:</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34</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35</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5: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36</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6: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60" w:name="antecedent-30-day-rain-and-stream-stage"/>
      <w:r>
        <w:t xml:space="preserve">Antecedent 30-day rain and stream stage</w:t>
      </w:r>
      <w:bookmarkEnd w:id="160"/>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37</w:t>
      </w:r>
      <w:r>
        <w:t xml:space="preserve">).</w:t>
      </w:r>
    </w:p>
    <w:p>
      <w:pPr>
        <w:pStyle w:val="BodyText"/>
      </w:pPr>
      <w:r>
        <w:t xml:space="preserve"> </w:t>
      </w:r>
    </w:p>
    <w:p>
      <w:pPr>
        <w:pStyle w:val="CaptionedFigure"/>
      </w:pPr>
      <w:r>
        <w:drawing>
          <wp:inline>
            <wp:extent cx="3669832" cy="3669832"/>
            <wp:effectExtent b="0" l="0" r="0" t="0"/>
            <wp:docPr descr="Figure 37: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6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 TRUE</w:t>
      </w:r>
    </w:p>
    <w:p>
      <w:pPr>
        <w:pStyle w:val="BodyText"/>
      </w:pPr>
      <w:r>
        <w:t xml:space="preserve"> </w:t>
      </w:r>
    </w:p>
    <w:p>
      <w:pPr>
        <w:pStyle w:val="Heading2"/>
      </w:pPr>
      <w:bookmarkStart w:id="162" w:name="extended-ch3-results"/>
      <w:r>
        <w:t xml:space="preserve">extended ch3 results</w:t>
      </w:r>
      <w:bookmarkEnd w:id="162"/>
    </w:p>
    <w:p>
      <w:pPr>
        <w:pStyle w:val="Heading7"/>
      </w:pPr>
      <w:bookmarkStart w:id="163" w:name="results-extended"/>
      <w:r>
        <w:t xml:space="preserve">Results extended</w:t>
      </w:r>
      <w:bookmarkEnd w:id="163"/>
    </w:p>
    <w:p>
      <w:pPr>
        <w:pStyle w:val="Heading8"/>
      </w:pPr>
      <w:bookmarkStart w:id="164" w:name="Xb062a35fa65c601d9b61eaa15affd59e6cc37d7"/>
      <w:r>
        <w:t xml:space="preserve">Ch.2 extended: NOM sampling in nested catchments</w:t>
      </w:r>
      <w:bookmarkEnd w:id="164"/>
    </w:p>
    <w:p>
      <w:pPr>
        <w:pStyle w:val="FirstParagraph"/>
      </w:pPr>
      <w:r>
        <w:t xml:space="preserve">Below the confluences of headwaters sites (Figure</w:t>
      </w:r>
      <w:r>
        <w:t xml:space="preserve"> </w:t>
      </w:r>
      <w:r>
        <w:t xml:space="preserve">38</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38</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38: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39</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9: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7" w:name="extended-chapter-4-results"/>
      <w:r>
        <w:t xml:space="preserve">extended chapter 4 results</w:t>
      </w:r>
      <w:bookmarkEnd w:id="167"/>
    </w:p>
    <w:p>
      <w:pPr>
        <w:pStyle w:val="Heading8"/>
      </w:pPr>
      <w:bookmarkStart w:id="168" w:name="ch.4-extended-rf-vim"/>
      <w:r>
        <w:t xml:space="preserve">Ch.4 extended: RF VIM</w:t>
      </w:r>
      <w:bookmarkEnd w:id="168"/>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40</w:t>
      </w:r>
      <w:r>
        <w:t xml:space="preserve"> </w:t>
      </w:r>
      <w:r>
        <w:t xml:space="preserve">and see how the relative rankings changed.</w:t>
      </w:r>
    </w:p>
    <w:p>
      <w:pPr>
        <w:pStyle w:val="CaptionedFigure"/>
      </w:pPr>
      <w:r>
        <w:drawing>
          <wp:inline>
            <wp:extent cx="5504749" cy="6880936"/>
            <wp:effectExtent b="0" l="0" r="0" t="0"/>
            <wp:docPr descr="Figure 40: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9"/>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40: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41</w:t>
      </w:r>
      <w:r>
        <w:t xml:space="preserve">).</w:t>
      </w:r>
    </w:p>
    <w:p>
      <w:pPr>
        <w:pStyle w:val="CaptionedFigure"/>
      </w:pPr>
      <w:r>
        <w:drawing>
          <wp:inline>
            <wp:extent cx="3669832" cy="3669832"/>
            <wp:effectExtent b="0" l="0" r="0" t="0"/>
            <wp:docPr descr="Figure 41: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7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BodyText"/>
      </w:pPr>
      <w:r>
        <w:t xml:space="preserve">30-day antecedent rain by site…(Figure</w:t>
      </w:r>
      <w:r>
        <w:t xml:space="preserve"> </w:t>
      </w:r>
      <w:r>
        <w:t xml:space="preserve">42</w:t>
      </w:r>
      <w:r>
        <w:t xml:space="preserve">)</w:t>
      </w:r>
    </w:p>
    <w:p>
      <w:pPr>
        <w:pStyle w:val="BodyText"/>
      </w:pPr>
      <w:r>
        <w:t xml:space="preserve"> </w:t>
      </w:r>
    </w:p>
    <w:p>
      <w:pPr>
        <w:pStyle w:val="CaptionedFigure"/>
      </w:pPr>
      <w:r>
        <w:drawing>
          <wp:inline>
            <wp:extent cx="5504749" cy="6422207"/>
            <wp:effectExtent b="0" l="0" r="0" t="0"/>
            <wp:docPr descr="Figure 42: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71"/>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2"/>
      </w:pPr>
      <w:bookmarkStart w:id="172" w:name="possible-trash"/>
      <w:r>
        <w:t xml:space="preserve">possible trash</w:t>
      </w:r>
      <w:bookmarkEnd w:id="172"/>
    </w:p>
    <w:p>
      <w:pPr>
        <w:pStyle w:val="Heading7"/>
      </w:pPr>
      <w:bookmarkStart w:id="173" w:name="possible-trash-1"/>
      <w:r>
        <w:t xml:space="preserve">possible trash</w:t>
      </w:r>
      <w:bookmarkEnd w:id="173"/>
    </w:p>
    <w:p>
      <w:pPr>
        <w:pStyle w:val="Heading3"/>
      </w:pPr>
      <w:bookmarkStart w:id="174" w:name="sampling-methods"/>
      <w:r>
        <w:t xml:space="preserve">sampling methods</w:t>
      </w:r>
      <w:bookmarkEnd w:id="174"/>
    </w:p>
    <w:p>
      <w:pPr>
        <w:pStyle w:val="Heading7"/>
      </w:pPr>
      <w:bookmarkStart w:id="175" w:name="sampling-methods-extended"/>
      <w:r>
        <w:t xml:space="preserve">Sampling methods extended</w:t>
      </w:r>
      <w:bookmarkEnd w:id="175"/>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43</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888"/>
            <wp:effectExtent b="0" l="0" r="0" t="0"/>
            <wp:docPr descr="Figure 4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7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7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8"/>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79" w:name="e2e3-over-time-loess"/>
      <w:r>
        <w:t xml:space="preserve">E2E3 over time (loess)</w:t>
      </w:r>
      <w:bookmarkEnd w:id="179"/>
    </w:p>
    <w:p>
      <w:pPr>
        <w:pStyle w:val="Heading9"/>
      </w:pPr>
      <w:bookmarkStart w:id="180" w:name="e2e3-over-time"/>
      <w:r>
        <w:t xml:space="preserve">E2E3 over time</w:t>
      </w:r>
      <w:bookmarkEnd w:id="180"/>
    </w:p>
    <w:p>
      <w:pPr>
        <w:pStyle w:val="CaptionedFigure"/>
      </w:pPr>
      <w:r>
        <w:drawing>
          <wp:inline>
            <wp:extent cx="5504749" cy="3669832"/>
            <wp:effectExtent b="0" l="0" r="0" t="0"/>
            <wp:docPr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33" w:name="refs"/>
    <w:bookmarkStart w:id="183"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82">
        <w:r>
          <w:rPr>
            <w:rStyle w:val="Hyperlink"/>
          </w:rPr>
          <w:t xml:space="preserve">https://doi.org/10.1111/ele.12897</w:t>
        </w:r>
      </w:hyperlink>
      <w:r>
        <w:t xml:space="preserve">.</w:t>
      </w:r>
    </w:p>
    <w:bookmarkEnd w:id="183"/>
    <w:bookmarkStart w:id="185"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4">
        <w:r>
          <w:rPr>
            <w:rStyle w:val="Hyperlink"/>
          </w:rPr>
          <w:t xml:space="preserve">https://doi.org/10.1002/2017WR021578</w:t>
        </w:r>
      </w:hyperlink>
      <w:r>
        <w:t xml:space="preserve">.</w:t>
      </w:r>
    </w:p>
    <w:bookmarkEnd w:id="185"/>
    <w:bookmarkStart w:id="187"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6">
        <w:r>
          <w:rPr>
            <w:rStyle w:val="Hyperlink"/>
          </w:rPr>
          <w:t xml:space="preserve">https://doi.org/10.1002/j.1551-8833.1995.tb06299.x</w:t>
        </w:r>
      </w:hyperlink>
      <w:r>
        <w:t xml:space="preserve">.</w:t>
      </w:r>
    </w:p>
    <w:bookmarkEnd w:id="187"/>
    <w:bookmarkStart w:id="189"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8">
        <w:r>
          <w:rPr>
            <w:rStyle w:val="Hyperlink"/>
          </w:rPr>
          <w:t xml:space="preserve">https://doi.org/10.1021/es103992s</w:t>
        </w:r>
      </w:hyperlink>
      <w:r>
        <w:t xml:space="preserve">.</w:t>
      </w:r>
    </w:p>
    <w:bookmarkEnd w:id="189"/>
    <w:bookmarkStart w:id="191"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90">
        <w:r>
          <w:rPr>
            <w:rStyle w:val="Hyperlink"/>
          </w:rPr>
          <w:t xml:space="preserve">https://doi.org/10.1016/j.jhydrol.2014.05.060</w:t>
        </w:r>
      </w:hyperlink>
      <w:r>
        <w:t xml:space="preserve">.</w:t>
      </w:r>
    </w:p>
    <w:bookmarkEnd w:id="191"/>
    <w:bookmarkStart w:id="193"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92">
        <w:r>
          <w:rPr>
            <w:rStyle w:val="Hyperlink"/>
          </w:rPr>
          <w:t xml:space="preserve">https://doi.org/10.1029/2007JG000674</w:t>
        </w:r>
      </w:hyperlink>
      <w:r>
        <w:t xml:space="preserve">.</w:t>
      </w:r>
    </w:p>
    <w:bookmarkEnd w:id="193"/>
    <w:bookmarkStart w:id="195"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4">
        <w:r>
          <w:rPr>
            <w:rStyle w:val="Hyperlink"/>
          </w:rPr>
          <w:t xml:space="preserve">http://www.standardmethods.org/</w:t>
        </w:r>
      </w:hyperlink>
      <w:r>
        <w:t xml:space="preserve">.</w:t>
      </w:r>
    </w:p>
    <w:bookmarkEnd w:id="195"/>
    <w:bookmarkStart w:id="197"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6">
        <w:r>
          <w:rPr>
            <w:rStyle w:val="Hyperlink"/>
          </w:rPr>
          <w:t xml:space="preserve">https://doi.org/10.2105/SMWW.2882.113</w:t>
        </w:r>
      </w:hyperlink>
      <w:r>
        <w:t xml:space="preserve">.</w:t>
      </w:r>
    </w:p>
    <w:bookmarkEnd w:id="197"/>
    <w:bookmarkStart w:id="199" w:name="ref-Beauchamp2018"/>
    <w:p>
      <w:pPr>
        <w:pStyle w:val="Bibliography"/>
      </w:pPr>
      <w:r>
        <w:t xml:space="preserve">Beauchamp, Nicolas, Olivier Laflamme, Sabrina Simard, Caetano Dorea, Geneviève Pelletier, Christian Bouchard, and Manuel Rodriguez. 2018. “Relationships between DBP concentrations and differential UV absorbance in full-scale conditions.”</w:t>
      </w:r>
      <w:r>
        <w:t xml:space="preserve"> </w:t>
      </w:r>
      <w:r>
        <w:rPr>
          <w:i/>
        </w:rPr>
        <w:t xml:space="preserve">Water Research</w:t>
      </w:r>
      <w:r>
        <w:t xml:space="preserve"> </w:t>
      </w:r>
      <w:r>
        <w:t xml:space="preserve">131: 110–21.</w:t>
      </w:r>
      <w:r>
        <w:t xml:space="preserve"> </w:t>
      </w:r>
      <w:hyperlink r:id="rId198">
        <w:r>
          <w:rPr>
            <w:rStyle w:val="Hyperlink"/>
          </w:rPr>
          <w:t xml:space="preserve">https://doi.org/10.1016/j.watres.2017.12.031</w:t>
        </w:r>
      </w:hyperlink>
      <w:r>
        <w:t xml:space="preserve">.</w:t>
      </w:r>
    </w:p>
    <w:bookmarkEnd w:id="199"/>
    <w:bookmarkStart w:id="201"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200">
        <w:r>
          <w:rPr>
            <w:rStyle w:val="Hyperlink"/>
          </w:rPr>
          <w:t xml:space="preserve">https://doi.org/10.1007/s11749-016-0481-7</w:t>
        </w:r>
      </w:hyperlink>
      <w:r>
        <w:t xml:space="preserve">.</w:t>
      </w:r>
    </w:p>
    <w:bookmarkEnd w:id="201"/>
    <w:bookmarkStart w:id="203"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202">
        <w:r>
          <w:rPr>
            <w:rStyle w:val="Hyperlink"/>
          </w:rPr>
          <w:t xml:space="preserve">https://doi.org/10.1201/9780367816377-11</w:t>
        </w:r>
      </w:hyperlink>
      <w:r>
        <w:t xml:space="preserve">.</w:t>
      </w:r>
    </w:p>
    <w:bookmarkEnd w:id="203"/>
    <w:bookmarkStart w:id="205" w:name="ref-BC2019"/>
    <w:p>
      <w:pPr>
        <w:pStyle w:val="Bibliography"/>
      </w:pPr>
      <w:r>
        <w:t xml:space="preserve">British Columbia Ministry of Environment. 2017. “BC Source Drinking Water Quality Guidelines: Guideline Summary.” Victoria, B.C.: Prov. B.C.</w:t>
      </w:r>
      <w:r>
        <w:t xml:space="preserve"> </w:t>
      </w:r>
      <w:hyperlink r:id="rId204">
        <w:r>
          <w:rPr>
            <w:rStyle w:val="Hyperlink"/>
          </w:rPr>
          <w:t xml:space="preserve">https://www2.gov.bc.ca/gov/content/governments/organizational-structure/ministries-organizations/ministries/environment-climate-change</w:t>
        </w:r>
      </w:hyperlink>
      <w:r>
        <w:t xml:space="preserve">.</w:t>
      </w:r>
    </w:p>
    <w:bookmarkEnd w:id="205"/>
    <w:bookmarkStart w:id="206" w:name="ref-CCME2004"/>
    <w:p>
      <w:pPr>
        <w:pStyle w:val="Bibliography"/>
      </w:pPr>
      <w:r>
        <w:t xml:space="preserve">Canadian Council of Ministers of the Environment. 2004. “From source to tap : guidance on the multi-barrier approach to safe drinking water.”</w:t>
      </w:r>
    </w:p>
    <w:bookmarkEnd w:id="206"/>
    <w:bookmarkStart w:id="208" w:name="ref-SoilScience2020"/>
    <w:p>
      <w:pPr>
        <w:pStyle w:val="Bibliography"/>
      </w:pPr>
      <w:r>
        <w:t xml:space="preserve">Canadian Society of Soil Science. 2020. “Soils of Canada.”</w:t>
      </w:r>
      <w:r>
        <w:t xml:space="preserve"> </w:t>
      </w:r>
      <w:hyperlink r:id="rId207">
        <w:r>
          <w:rPr>
            <w:rStyle w:val="Hyperlink"/>
          </w:rPr>
          <w:t xml:space="preserve">https://soilsofcanada.ca</w:t>
        </w:r>
      </w:hyperlink>
      <w:r>
        <w:t xml:space="preserve">.</w:t>
      </w:r>
    </w:p>
    <w:bookmarkEnd w:id="208"/>
    <w:bookmarkStart w:id="210" w:name="ref-CRD"/>
    <w:p>
      <w:pPr>
        <w:pStyle w:val="Bibliography"/>
      </w:pPr>
      <w:r>
        <w:t xml:space="preserve">Capital Regional District. n.d. “Facts and Figures for the Greater Victoria Water Supply Area.” Accessed July 13, 2018.</w:t>
      </w:r>
      <w:r>
        <w:t xml:space="preserve"> </w:t>
      </w:r>
      <w:hyperlink r:id="rId209">
        <w:r>
          <w:rPr>
            <w:rStyle w:val="Hyperlink"/>
          </w:rPr>
          <w:t xml:space="preserve">https://www.crd.bc.ca/service/public-tours/watershed-tours/facts-figures</w:t>
        </w:r>
      </w:hyperlink>
      <w:r>
        <w:t xml:space="preserve">.</w:t>
      </w:r>
    </w:p>
    <w:bookmarkEnd w:id="210"/>
    <w:bookmarkStart w:id="211"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11"/>
    <w:bookmarkStart w:id="213"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12">
        <w:r>
          <w:rPr>
            <w:rStyle w:val="Hyperlink"/>
          </w:rPr>
          <w:t xml:space="preserve">https://doi.org/10.2166/aqua.2008.064</w:t>
        </w:r>
      </w:hyperlink>
      <w:r>
        <w:t xml:space="preserve">.</w:t>
      </w:r>
    </w:p>
    <w:bookmarkEnd w:id="213"/>
    <w:bookmarkStart w:id="215"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14">
        <w:r>
          <w:rPr>
            <w:rStyle w:val="Hyperlink"/>
          </w:rPr>
          <w:t xml:space="preserve">https://doi.org/10.1007/978-94-007-1363-5</w:t>
        </w:r>
      </w:hyperlink>
      <w:r>
        <w:t xml:space="preserve">.</w:t>
      </w:r>
    </w:p>
    <w:bookmarkEnd w:id="215"/>
    <w:bookmarkStart w:id="217" w:name="ref-CapitalRegionDistrict2017"/>
    <w:p>
      <w:pPr>
        <w:pStyle w:val="Bibliography"/>
      </w:pPr>
      <w:r>
        <w:t xml:space="preserve">CRD. 2017. “Regional Water Supply 2017 Strategic Plan.” Victoria, B.C.: Capital Region District, Integrated Water Services.</w:t>
      </w:r>
      <w:r>
        <w:t xml:space="preserve"> </w:t>
      </w:r>
      <w:hyperlink r:id="rId216">
        <w:r>
          <w:rPr>
            <w:rStyle w:val="Hyperlink"/>
          </w:rPr>
          <w:t xml:space="preserve">https://www.crd.bc.ca/project/past-capital-projects-and-initiatives/water-supply-plan</w:t>
        </w:r>
      </w:hyperlink>
      <w:r>
        <w:t xml:space="preserve">.</w:t>
      </w:r>
    </w:p>
    <w:bookmarkEnd w:id="217"/>
    <w:bookmarkStart w:id="219"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8">
        <w:r>
          <w:rPr>
            <w:rStyle w:val="Hyperlink"/>
          </w:rPr>
          <w:t xml:space="preserve">https://doi.org/IWSS-297445977-5079</w:t>
        </w:r>
      </w:hyperlink>
      <w:r>
        <w:t xml:space="preserve">.</w:t>
      </w:r>
    </w:p>
    <w:bookmarkEnd w:id="219"/>
    <w:bookmarkStart w:id="221"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20">
        <w:r>
          <w:rPr>
            <w:rStyle w:val="Hyperlink"/>
          </w:rPr>
          <w:t xml:space="preserve">https://doi.org/10.1139/cjfas-2014-0400</w:t>
        </w:r>
      </w:hyperlink>
      <w:r>
        <w:t xml:space="preserve">.</w:t>
      </w:r>
    </w:p>
    <w:bookmarkEnd w:id="221"/>
    <w:bookmarkStart w:id="223"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22">
        <w:r>
          <w:rPr>
            <w:rStyle w:val="Hyperlink"/>
          </w:rPr>
          <w:t xml:space="preserve">https://doi.org/10.1016/B978-0-12-382092-1.00019-1</w:t>
        </w:r>
      </w:hyperlink>
      <w:r>
        <w:t xml:space="preserve">.</w:t>
      </w:r>
    </w:p>
    <w:bookmarkEnd w:id="223"/>
    <w:bookmarkStart w:id="225"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24">
        <w:r>
          <w:rPr>
            <w:rStyle w:val="Hyperlink"/>
          </w:rPr>
          <w:t xml:space="preserve">https://doi.org/10.1016/j.watres.2016.08.031</w:t>
        </w:r>
      </w:hyperlink>
      <w:r>
        <w:t xml:space="preserve">.</w:t>
      </w:r>
    </w:p>
    <w:bookmarkEnd w:id="225"/>
    <w:bookmarkStart w:id="227" w:name="ref-Diehl2007"/>
    <w:p>
      <w:pPr>
        <w:pStyle w:val="Bibliography"/>
      </w:pPr>
      <w:r>
        <w:t xml:space="preserve">Diehl, Timothy H. 2007. “A Modified Siphon Sampler for Shallow Water.” U.S. Department of the Interior, U.S. Geological Survey.</w:t>
      </w:r>
      <w:r>
        <w:t xml:space="preserve"> </w:t>
      </w:r>
      <w:hyperlink r:id="rId226">
        <w:r>
          <w:rPr>
            <w:rStyle w:val="Hyperlink"/>
          </w:rPr>
          <w:t xml:space="preserve">https://pubs.er.usgs.gov/publication/sir20075282</w:t>
        </w:r>
      </w:hyperlink>
      <w:r>
        <w:t xml:space="preserve">.</w:t>
      </w:r>
    </w:p>
    <w:bookmarkEnd w:id="227"/>
    <w:bookmarkStart w:id="229"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8">
        <w:r>
          <w:rPr>
            <w:rStyle w:val="Hyperlink"/>
          </w:rPr>
          <w:t xml:space="preserve">http://scholar.google.com/scholar?hl=en{\&amp;}btnG=Search{\&amp;}q=intitle:Running+Pure{\#}1</w:t>
        </w:r>
      </w:hyperlink>
      <w:r>
        <w:t xml:space="preserve">.</w:t>
      </w:r>
    </w:p>
    <w:bookmarkEnd w:id="229"/>
    <w:bookmarkStart w:id="231"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30">
        <w:r>
          <w:rPr>
            <w:rStyle w:val="Hyperlink"/>
          </w:rPr>
          <w:t xml:space="preserve">https://doi.org/10.1016/j.watres.2010.08.051</w:t>
        </w:r>
      </w:hyperlink>
      <w:r>
        <w:t xml:space="preserve">.</w:t>
      </w:r>
    </w:p>
    <w:bookmarkEnd w:id="231"/>
    <w:bookmarkStart w:id="232" w:name="ref-Epps1994"/>
    <w:p>
      <w:pPr>
        <w:pStyle w:val="Bibliography"/>
      </w:pPr>
      <w:r>
        <w:t xml:space="preserve">Epps, Deborah Norine. 1994. “Factors Affecting Disinfection By-Products from Surface Source Waters on Vancouver Island.” Master of Science, University of Victoria.</w:t>
      </w:r>
    </w:p>
    <w:bookmarkEnd w:id="232"/>
    <w:bookmarkStart w:id="234"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33">
        <w:r>
          <w:rPr>
            <w:rStyle w:val="Hyperlink"/>
          </w:rPr>
          <w:t xml:space="preserve">https://doi.org/10.1002/(SICI)1099-1085(199903)13:4&lt;563::AID-HYP711&gt;3.0.CO;2-N</w:t>
        </w:r>
      </w:hyperlink>
      <w:r>
        <w:t xml:space="preserve">.</w:t>
      </w:r>
    </w:p>
    <w:bookmarkEnd w:id="234"/>
    <w:bookmarkStart w:id="236"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35">
        <w:r>
          <w:rPr>
            <w:rStyle w:val="Hyperlink"/>
          </w:rPr>
          <w:t xml:space="preserve">https://doi.org/10.1029/97WR01881</w:t>
        </w:r>
      </w:hyperlink>
      <w:r>
        <w:t xml:space="preserve">.</w:t>
      </w:r>
    </w:p>
    <w:bookmarkEnd w:id="236"/>
    <w:bookmarkStart w:id="238" w:name="ref-SoilsCanada2018"/>
    <w:p>
      <w:pPr>
        <w:pStyle w:val="Bibliography"/>
      </w:pPr>
      <w:r>
        <w:t xml:space="preserve">Government of Canada. 2018. “Soils of British Columbia.”</w:t>
      </w:r>
      <w:r>
        <w:t xml:space="preserve"> </w:t>
      </w:r>
      <w:hyperlink r:id="rId237">
        <w:r>
          <w:rPr>
            <w:rStyle w:val="Hyperlink"/>
          </w:rPr>
          <w:t xml:space="preserve">http://sis.agr.gc.ca/cansis/soils/bc/soils.html</w:t>
        </w:r>
      </w:hyperlink>
      <w:r>
        <w:t xml:space="preserve">.</w:t>
      </w:r>
    </w:p>
    <w:bookmarkEnd w:id="238"/>
    <w:bookmarkStart w:id="240"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39">
        <w:r>
          <w:rPr>
            <w:rStyle w:val="Hyperlink"/>
          </w:rPr>
          <w:t xml:space="preserve">https://doi.org/10.3133/fs06700</w:t>
        </w:r>
      </w:hyperlink>
      <w:r>
        <w:t xml:space="preserve">.</w:t>
      </w:r>
    </w:p>
    <w:bookmarkEnd w:id="240"/>
    <w:bookmarkStart w:id="241"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41"/>
    <w:bookmarkStart w:id="243"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42">
        <w:r>
          <w:rPr>
            <w:rStyle w:val="Hyperlink"/>
          </w:rPr>
          <w:t xml:space="preserve">https://doi.org/10.13031/2013.15662</w:t>
        </w:r>
      </w:hyperlink>
      <w:r>
        <w:t xml:space="preserve">.</w:t>
      </w:r>
    </w:p>
    <w:bookmarkEnd w:id="243"/>
    <w:bookmarkStart w:id="245" w:name="ref-HealthCanada2019"/>
    <w:p>
      <w:pPr>
        <w:pStyle w:val="Bibliography"/>
      </w:pPr>
      <w:r>
        <w:t xml:space="preserve">Health Canada. 2019a. “Guidance on Natural Organic Matter in Drinking Water.”</w:t>
      </w:r>
      <w:r>
        <w:t xml:space="preserve"> </w:t>
      </w:r>
      <w:hyperlink r:id="rId244">
        <w:r>
          <w:rPr>
            <w:rStyle w:val="Hyperlink"/>
          </w:rPr>
          <w:t xml:space="preserve">https://www.canada.ca/content/dam/hc-sc/documents/programs/consultation-organic-matter-drinking-water/NOM20190129-eng.pdf</w:t>
        </w:r>
      </w:hyperlink>
      <w:r>
        <w:t xml:space="preserve">.</w:t>
      </w:r>
    </w:p>
    <w:bookmarkEnd w:id="245"/>
    <w:bookmarkStart w:id="247"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46">
        <w:r>
          <w:rPr>
            <w:rStyle w:val="Hyperlink"/>
          </w:rPr>
          <w:t xml:space="preserve">https://www.canada.ca/content/dam/hc-sc/migration/hc-sc/ewh-semt/alt{\_}formats/pdf/pubs/water-eau/sum{\_}guide-res{\_}recom/summary-table-August-15-2019-eng.pdf</w:t>
        </w:r>
      </w:hyperlink>
      <w:r>
        <w:t xml:space="preserve">.</w:t>
      </w:r>
    </w:p>
    <w:bookmarkEnd w:id="247"/>
    <w:bookmarkStart w:id="249" w:name="ref-HealthCanada2006"/>
    <w:p>
      <w:pPr>
        <w:pStyle w:val="Bibliography"/>
      </w:pPr>
      <w:r>
        <w:t xml:space="preserve">HealthCanada. 2006. “Drinking Water Chlorination.”</w:t>
      </w:r>
      <w:r>
        <w:t xml:space="preserve"> </w:t>
      </w:r>
      <w:hyperlink r:id="rId248">
        <w:r>
          <w:rPr>
            <w:rStyle w:val="Hyperlink"/>
          </w:rPr>
          <w:t xml:space="preserve">https://www.canada.ca/en/health-canada/services/healthy-living/your-health/environment/drinking-water-chlorination.html</w:t>
        </w:r>
      </w:hyperlink>
      <w:r>
        <w:t xml:space="preserve">.</w:t>
      </w:r>
    </w:p>
    <w:bookmarkEnd w:id="249"/>
    <w:bookmarkStart w:id="251" w:name="ref-HealthLinkBC2018"/>
    <w:p>
      <w:pPr>
        <w:pStyle w:val="Bibliography"/>
      </w:pPr>
      <w:r>
        <w:t xml:space="preserve">HealthLinkBC. 2018. “Drinking Water Chlorination Facts.”</w:t>
      </w:r>
      <w:r>
        <w:t xml:space="preserve"> </w:t>
      </w:r>
      <w:hyperlink r:id="rId250">
        <w:r>
          <w:rPr>
            <w:rStyle w:val="Hyperlink"/>
          </w:rPr>
          <w:t xml:space="preserve">https://www.healthlinkbc.ca/healthlinkbc-files/drinking-water-chlorination</w:t>
        </w:r>
      </w:hyperlink>
      <w:r>
        <w:t xml:space="preserve">.</w:t>
      </w:r>
    </w:p>
    <w:bookmarkEnd w:id="251"/>
    <w:bookmarkStart w:id="253"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52">
        <w:r>
          <w:rPr>
            <w:rStyle w:val="Hyperlink"/>
          </w:rPr>
          <w:t xml:space="preserve">https://www.jstor.org/stable/40058211</w:t>
        </w:r>
      </w:hyperlink>
      <w:r>
        <w:t xml:space="preserve">.</w:t>
      </w:r>
    </w:p>
    <w:bookmarkEnd w:id="253"/>
    <w:bookmarkStart w:id="255"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54">
        <w:r>
          <w:rPr>
            <w:rStyle w:val="Hyperlink"/>
          </w:rPr>
          <w:t xml:space="preserve">https://doi.org/10.1029/2005JG000082</w:t>
        </w:r>
      </w:hyperlink>
      <w:r>
        <w:t xml:space="preserve">.</w:t>
      </w:r>
    </w:p>
    <w:bookmarkEnd w:id="255"/>
    <w:bookmarkStart w:id="257"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56">
        <w:r>
          <w:rPr>
            <w:rStyle w:val="Hyperlink"/>
          </w:rPr>
          <w:t xml:space="preserve">https://doi.org/10.1002/j.1551-8833.1995.tb06302.x</w:t>
        </w:r>
      </w:hyperlink>
      <w:r>
        <w:t xml:space="preserve">.</w:t>
      </w:r>
    </w:p>
    <w:bookmarkEnd w:id="257"/>
    <w:bookmarkStart w:id="259"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58">
        <w:r>
          <w:rPr>
            <w:rStyle w:val="Hyperlink"/>
          </w:rPr>
          <w:t xml:space="preserve">https://doi.org/doi:10.1046/j.1365-2427.1997.d01-539.x</w:t>
        </w:r>
      </w:hyperlink>
      <w:r>
        <w:t xml:space="preserve">.</w:t>
      </w:r>
    </w:p>
    <w:bookmarkEnd w:id="259"/>
    <w:bookmarkStart w:id="261"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60">
        <w:r>
          <w:rPr>
            <w:rStyle w:val="Hyperlink"/>
          </w:rPr>
          <w:t xml:space="preserve">https://www.jstor.org/stable/41311011</w:t>
        </w:r>
      </w:hyperlink>
      <w:r>
        <w:t xml:space="preserve">.</w:t>
      </w:r>
    </w:p>
    <w:bookmarkEnd w:id="261"/>
    <w:bookmarkStart w:id="263"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62">
        <w:r>
          <w:rPr>
            <w:rStyle w:val="Hyperlink"/>
          </w:rPr>
          <w:t xml:space="preserve">https://doi.org/10.1002/j.1551-8833.2002.tb10250.x</w:t>
        </w:r>
      </w:hyperlink>
      <w:r>
        <w:t xml:space="preserve">.</w:t>
      </w:r>
    </w:p>
    <w:bookmarkEnd w:id="263"/>
    <w:bookmarkStart w:id="265"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64">
        <w:r>
          <w:rPr>
            <w:rStyle w:val="Hyperlink"/>
          </w:rPr>
          <w:t xml:space="preserve">https://doi.org/10.1029/2005WR004362</w:t>
        </w:r>
      </w:hyperlink>
      <w:r>
        <w:t xml:space="preserve">.</w:t>
      </w:r>
    </w:p>
    <w:bookmarkEnd w:id="265"/>
    <w:bookmarkStart w:id="267"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66">
        <w:r>
          <w:rPr>
            <w:rStyle w:val="Hyperlink"/>
          </w:rPr>
          <w:t xml:space="preserve">https://doi.org/10.5194/bg-11-3043-2014</w:t>
        </w:r>
      </w:hyperlink>
      <w:r>
        <w:t xml:space="preserve">.</w:t>
      </w:r>
    </w:p>
    <w:bookmarkEnd w:id="267"/>
    <w:bookmarkStart w:id="269"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68">
        <w:r>
          <w:rPr>
            <w:rStyle w:val="Hyperlink"/>
          </w:rPr>
          <w:t xml:space="preserve">https://archive.org/details/metaltransportre00lazeuoft/mode/2up</w:t>
        </w:r>
      </w:hyperlink>
      <w:r>
        <w:t xml:space="preserve">.</w:t>
      </w:r>
    </w:p>
    <w:bookmarkEnd w:id="269"/>
    <w:bookmarkStart w:id="271"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70">
        <w:r>
          <w:rPr>
            <w:rStyle w:val="Hyperlink"/>
          </w:rPr>
          <w:t xml:space="preserve">https://doi.org/10.1016/j.jhazmat.2014.02.009</w:t>
        </w:r>
      </w:hyperlink>
      <w:r>
        <w:t xml:space="preserve">.</w:t>
      </w:r>
    </w:p>
    <w:bookmarkEnd w:id="271"/>
    <w:bookmarkStart w:id="273" w:name="ref-Liaw2018"/>
    <w:p>
      <w:pPr>
        <w:pStyle w:val="Bibliography"/>
      </w:pPr>
      <w:r>
        <w:t xml:space="preserve">Liaw, Andy, and Matthew Wiener. 2018. “randomForest: Breiman and Cutler’s Random Forests for Classification and Regression.” CRAN.</w:t>
      </w:r>
      <w:r>
        <w:t xml:space="preserve"> </w:t>
      </w:r>
      <w:hyperlink r:id="rId272">
        <w:r>
          <w:rPr>
            <w:rStyle w:val="Hyperlink"/>
          </w:rPr>
          <w:t xml:space="preserve">https://doi.org/10.1023/A:1010933404324</w:t>
        </w:r>
      </w:hyperlink>
      <w:r>
        <w:t xml:space="preserve">.</w:t>
      </w:r>
    </w:p>
    <w:bookmarkEnd w:id="273"/>
    <w:bookmarkStart w:id="275"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74">
        <w:r>
          <w:rPr>
            <w:rStyle w:val="Hyperlink"/>
          </w:rPr>
          <w:t xml:space="preserve">https://doi.org/10.1002/rra.1504</w:t>
        </w:r>
      </w:hyperlink>
      <w:r>
        <w:t xml:space="preserve">.</w:t>
      </w:r>
    </w:p>
    <w:bookmarkEnd w:id="275"/>
    <w:bookmarkStart w:id="277"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76">
        <w:r>
          <w:rPr>
            <w:rStyle w:val="Hyperlink"/>
          </w:rPr>
          <w:t xml:space="preserve">https://doi.org/10.1016/j.chemosphere.2011.01.018</w:t>
        </w:r>
      </w:hyperlink>
      <w:r>
        <w:t xml:space="preserve">.</w:t>
      </w:r>
    </w:p>
    <w:bookmarkEnd w:id="277"/>
    <w:bookmarkStart w:id="279"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78">
        <w:r>
          <w:rPr>
            <w:rStyle w:val="Hyperlink"/>
          </w:rPr>
          <w:t xml:space="preserve">https://doi.org/10.1016/j.cis.2010.06.007</w:t>
        </w:r>
      </w:hyperlink>
      <w:r>
        <w:t xml:space="preserve">.</w:t>
      </w:r>
    </w:p>
    <w:bookmarkEnd w:id="279"/>
    <w:bookmarkStart w:id="281"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80">
        <w:r>
          <w:rPr>
            <w:rStyle w:val="Hyperlink"/>
          </w:rPr>
          <w:t xml:space="preserve">https://doi.org/10.1007/s10533-018-0482-6</w:t>
        </w:r>
      </w:hyperlink>
      <w:r>
        <w:t xml:space="preserve">.</w:t>
      </w:r>
    </w:p>
    <w:bookmarkEnd w:id="281"/>
    <w:bookmarkStart w:id="283"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82">
        <w:r>
          <w:rPr>
            <w:rStyle w:val="Hyperlink"/>
          </w:rPr>
          <w:t xml:space="preserve">https://www.jstor.org/stable/1937326</w:t>
        </w:r>
      </w:hyperlink>
      <w:r>
        <w:t xml:space="preserve">.</w:t>
      </w:r>
    </w:p>
    <w:bookmarkEnd w:id="283"/>
    <w:bookmarkStart w:id="285"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84">
        <w:r>
          <w:rPr>
            <w:rStyle w:val="Hyperlink"/>
          </w:rPr>
          <w:t xml:space="preserve">https://doi.org/10.14288/1.0387350</w:t>
        </w:r>
      </w:hyperlink>
      <w:r>
        <w:t xml:space="preserve">.</w:t>
      </w:r>
    </w:p>
    <w:bookmarkEnd w:id="285"/>
    <w:bookmarkStart w:id="287"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86">
        <w:r>
          <w:rPr>
            <w:rStyle w:val="Hyperlink"/>
          </w:rPr>
          <w:t xml:space="preserve">https://doi.org/10.1007/s10533-015-0103-6</w:t>
        </w:r>
      </w:hyperlink>
      <w:r>
        <w:t xml:space="preserve">.</w:t>
      </w:r>
    </w:p>
    <w:bookmarkEnd w:id="287"/>
    <w:bookmarkStart w:id="289"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88">
        <w:r>
          <w:rPr>
            <w:rStyle w:val="Hyperlink"/>
          </w:rPr>
          <w:t xml:space="preserve">https://doi.org/10.1016/j.advwatres.2015.09.026</w:t>
        </w:r>
      </w:hyperlink>
      <w:r>
        <w:t xml:space="preserve">.</w:t>
      </w:r>
    </w:p>
    <w:bookmarkEnd w:id="289"/>
    <w:bookmarkStart w:id="291"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90">
        <w:r>
          <w:rPr>
            <w:rStyle w:val="Hyperlink"/>
          </w:rPr>
          <w:t xml:space="preserve">http://hdl.handle.net/1885/40940</w:t>
        </w:r>
      </w:hyperlink>
      <w:r>
        <w:t xml:space="preserve">.</w:t>
      </w:r>
    </w:p>
    <w:bookmarkEnd w:id="291"/>
    <w:bookmarkStart w:id="293"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92">
        <w:r>
          <w:rPr>
            <w:rStyle w:val="Hyperlink"/>
          </w:rPr>
          <w:t xml:space="preserve">https://doi.org/10.5194/bg-10-2315-2013</w:t>
        </w:r>
      </w:hyperlink>
      <w:r>
        <w:t xml:space="preserve">.</w:t>
      </w:r>
    </w:p>
    <w:bookmarkEnd w:id="293"/>
    <w:bookmarkStart w:id="295"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94">
        <w:r>
          <w:rPr>
            <w:rStyle w:val="Hyperlink"/>
          </w:rPr>
          <w:t xml:space="preserve">http://www.jstor.com/stable/41295152</w:t>
        </w:r>
      </w:hyperlink>
      <w:r>
        <w:t xml:space="preserve">.</w:t>
      </w:r>
    </w:p>
    <w:bookmarkEnd w:id="295"/>
    <w:bookmarkStart w:id="297"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96">
        <w:r>
          <w:rPr>
            <w:rStyle w:val="Hyperlink"/>
          </w:rPr>
          <w:t xml:space="preserve">https://doi.org/10.1007/s11270-013-1651-9</w:t>
        </w:r>
      </w:hyperlink>
      <w:r>
        <w:t xml:space="preserve">.</w:t>
      </w:r>
    </w:p>
    <w:bookmarkEnd w:id="297"/>
    <w:bookmarkStart w:id="299" w:name="ref-Penna2019"/>
    <w:p>
      <w:pPr>
        <w:pStyle w:val="Bibliography"/>
      </w:pPr>
      <w:r>
        <w:t xml:space="preserve">Penna, Daniele, and H. J. (Ilja) van Meerveld. 2019. “Spatial variability in the isotopic composition of water in small catchments and its effect on hydrograph separation.”</w:t>
      </w:r>
      <w:r>
        <w:t xml:space="preserve"> </w:t>
      </w:r>
      <w:r>
        <w:rPr>
          <w:i/>
        </w:rPr>
        <w:t xml:space="preserve">Wiley Interdisciplinary Reviews: Water</w:t>
      </w:r>
      <w:r>
        <w:t xml:space="preserve"> </w:t>
      </w:r>
      <w:r>
        <w:t xml:space="preserve">6 (5): 1–33.</w:t>
      </w:r>
      <w:r>
        <w:t xml:space="preserve"> </w:t>
      </w:r>
      <w:hyperlink r:id="rId298">
        <w:r>
          <w:rPr>
            <w:rStyle w:val="Hyperlink"/>
          </w:rPr>
          <w:t xml:space="preserve">https://doi.org/10.1002/wat2.1367</w:t>
        </w:r>
      </w:hyperlink>
      <w:r>
        <w:t xml:space="preserve">.</w:t>
      </w:r>
    </w:p>
    <w:bookmarkEnd w:id="299"/>
    <w:bookmarkStart w:id="301"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300">
        <w:r>
          <w:rPr>
            <w:rStyle w:val="Hyperlink"/>
          </w:rPr>
          <w:t xml:space="preserve">https://doi.org/10.1016/S0003-2670(96)00412-6</w:t>
        </w:r>
      </w:hyperlink>
      <w:r>
        <w:t xml:space="preserve">.</w:t>
      </w:r>
    </w:p>
    <w:bookmarkEnd w:id="301"/>
    <w:bookmarkStart w:id="30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302">
        <w:r>
          <w:rPr>
            <w:rStyle w:val="Hyperlink"/>
          </w:rPr>
          <w:t xml:space="preserve">https://www.for.gov.bc.ca/hfd/pubs/docs/lmh/Lmh66/LMH66{\_}volume2of2.pdf</w:t>
        </w:r>
      </w:hyperlink>
      <w:r>
        <w:t xml:space="preserve">.</w:t>
      </w:r>
    </w:p>
    <w:bookmarkEnd w:id="303"/>
    <w:bookmarkStart w:id="30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304"/>
    <w:bookmarkStart w:id="30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305">
        <w:r>
          <w:rPr>
            <w:rStyle w:val="Hyperlink"/>
          </w:rPr>
          <w:t xml:space="preserve">https://doi.org/10.1007/sl0533-010-9416-7</w:t>
        </w:r>
      </w:hyperlink>
      <w:r>
        <w:t xml:space="preserve">.</w:t>
      </w:r>
    </w:p>
    <w:bookmarkEnd w:id="306"/>
    <w:bookmarkStart w:id="30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307">
        <w:r>
          <w:rPr>
            <w:rStyle w:val="Hyperlink"/>
          </w:rPr>
          <w:t xml:space="preserve">https://www.jstor.org/stable/24702986</w:t>
        </w:r>
      </w:hyperlink>
      <w:r>
        <w:t xml:space="preserve">.</w:t>
      </w:r>
    </w:p>
    <w:bookmarkEnd w:id="308"/>
    <w:bookmarkStart w:id="310"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09">
        <w:r>
          <w:rPr>
            <w:rStyle w:val="Hyperlink"/>
          </w:rPr>
          <w:t xml:space="preserve">https://doi.org/10.1016/j.scitotenv.2016.09.113</w:t>
        </w:r>
      </w:hyperlink>
      <w:r>
        <w:t xml:space="preserve">.</w:t>
      </w:r>
    </w:p>
    <w:bookmarkEnd w:id="310"/>
    <w:bookmarkStart w:id="31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11">
        <w:r>
          <w:rPr>
            <w:rStyle w:val="Hyperlink"/>
          </w:rPr>
          <w:t xml:space="preserve">https://doi.org/10.1111/j.1365-2427.2011.02613.x</w:t>
        </w:r>
      </w:hyperlink>
      <w:r>
        <w:t xml:space="preserve">.</w:t>
      </w:r>
    </w:p>
    <w:bookmarkEnd w:id="312"/>
    <w:bookmarkStart w:id="314"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13">
        <w:r>
          <w:rPr>
            <w:rStyle w:val="Hyperlink"/>
          </w:rPr>
          <w:t xml:space="preserve">https://doi.org/10.1186/1471-2105-9-307</w:t>
        </w:r>
      </w:hyperlink>
      <w:r>
        <w:t xml:space="preserve">.</w:t>
      </w:r>
    </w:p>
    <w:bookmarkEnd w:id="314"/>
    <w:bookmarkStart w:id="316"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15">
        <w:r>
          <w:rPr>
            <w:rStyle w:val="Hyperlink"/>
          </w:rPr>
          <w:t xml:space="preserve">https://doi.org/10.1037/a0016973</w:t>
        </w:r>
      </w:hyperlink>
      <w:r>
        <w:t xml:space="preserve">.</w:t>
      </w:r>
    </w:p>
    <w:bookmarkEnd w:id="316"/>
    <w:bookmarkStart w:id="318"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17">
        <w:r>
          <w:rPr>
            <w:rStyle w:val="Hyperlink"/>
          </w:rPr>
          <w:t xml:space="preserve">https://doi.org/10.1016/j.jenvman.2007.03.001</w:t>
        </w:r>
      </w:hyperlink>
      <w:r>
        <w:t xml:space="preserve">.</w:t>
      </w:r>
    </w:p>
    <w:bookmarkEnd w:id="318"/>
    <w:bookmarkStart w:id="320"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19">
        <w:r>
          <w:rPr>
            <w:rStyle w:val="Hyperlink"/>
          </w:rPr>
          <w:t xml:space="preserve">https://doi.org/10.3390</w:t>
        </w:r>
      </w:hyperlink>
      <w:r>
        <w:t xml:space="preserve">.</w:t>
      </w:r>
    </w:p>
    <w:bookmarkEnd w:id="320"/>
    <w:bookmarkStart w:id="32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21"/>
    <w:bookmarkStart w:id="32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22"/>
    <w:bookmarkStart w:id="324"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23">
        <w:r>
          <w:rPr>
            <w:rStyle w:val="Hyperlink"/>
          </w:rPr>
          <w:t xml:space="preserve">https://doi.org/10.1007/s10533-019-00561-w</w:t>
        </w:r>
      </w:hyperlink>
      <w:r>
        <w:t xml:space="preserve">.</w:t>
      </w:r>
    </w:p>
    <w:bookmarkEnd w:id="324"/>
    <w:bookmarkStart w:id="326"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25">
        <w:r>
          <w:rPr>
            <w:rStyle w:val="Hyperlink"/>
          </w:rPr>
          <w:t xml:space="preserve">https://doi.org/10.1007/s10533-008-9207-6</w:t>
        </w:r>
      </w:hyperlink>
      <w:r>
        <w:t xml:space="preserve">.</w:t>
      </w:r>
    </w:p>
    <w:bookmarkEnd w:id="326"/>
    <w:bookmarkStart w:id="328"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27">
        <w:r>
          <w:rPr>
            <w:rStyle w:val="Hyperlink"/>
          </w:rPr>
          <w:t xml:space="preserve">https://doi.org/10.1021/es030360x</w:t>
        </w:r>
      </w:hyperlink>
      <w:r>
        <w:t xml:space="preserve">.</w:t>
      </w:r>
    </w:p>
    <w:bookmarkEnd w:id="328"/>
    <w:bookmarkStart w:id="33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29">
        <w:r>
          <w:rPr>
            <w:rStyle w:val="Hyperlink"/>
          </w:rPr>
          <w:t xml:space="preserve">https://doi.org/10.1007/s11356-015-4078-6</w:t>
        </w:r>
      </w:hyperlink>
      <w:r>
        <w:t xml:space="preserve">.</w:t>
      </w:r>
    </w:p>
    <w:bookmarkEnd w:id="330"/>
    <w:bookmarkStart w:id="332"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31">
        <w:r>
          <w:rPr>
            <w:rStyle w:val="Hyperlink"/>
          </w:rPr>
          <w:t xml:space="preserve">https://doi.org/10.1029/2018GL080005</w:t>
        </w:r>
      </w:hyperlink>
      <w:r>
        <w:t xml:space="preserve">.</w:t>
      </w:r>
    </w:p>
    <w:bookmarkEnd w:id="332"/>
    <w:bookmarkEnd w:id="333"/>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8">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5" Target="media/rId145.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69" Target="media/rId169.png" /><Relationship Type="http://schemas.openxmlformats.org/officeDocument/2006/relationships/image" Id="rId181" Target="media/rId181.pn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61" Target="media/rId161.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71" Target="media/rId171.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5" Target="media/rId15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48" Target="media/rId148.png" /><Relationship Type="http://schemas.openxmlformats.org/officeDocument/2006/relationships/image" Id="rId120" Target="media/rId120.png" /><Relationship Type="http://schemas.openxmlformats.org/officeDocument/2006/relationships/image" Id="rId152" Target="media/rId152.png" /><Relationship Type="http://schemas.openxmlformats.org/officeDocument/2006/relationships/image" Id="rId151" Target="media/rId151.png" /><Relationship Type="http://schemas.openxmlformats.org/officeDocument/2006/relationships/hyperlink" Id="rId290" Target="http://hdl.handle.net/1885/40940" TargetMode="External" /><Relationship Type="http://schemas.openxmlformats.org/officeDocument/2006/relationships/hyperlink" Id="rId228" Target="http://scholar.google.com/scholar?hl=en%7B\&amp;%7DbtnG=Search%7B\&amp;%7Dq=intitle:Running+Pure%7B\#%7D1" TargetMode="External" /><Relationship Type="http://schemas.openxmlformats.org/officeDocument/2006/relationships/hyperlink" Id="rId237" Target="http://sis.agr.gc.ca/cansis/soils/bc/soils.html" TargetMode="External" /><Relationship Type="http://schemas.openxmlformats.org/officeDocument/2006/relationships/hyperlink" Id="rId294" Target="http://www.jstor.com/stable/41295152" TargetMode="External" /><Relationship Type="http://schemas.openxmlformats.org/officeDocument/2006/relationships/hyperlink" Id="rId194" Target="http://www.standardmethods.org/" TargetMode="External" /><Relationship Type="http://schemas.openxmlformats.org/officeDocument/2006/relationships/hyperlink" Id="rId268" Target="https://archive.org/details/metaltransportre00lazeuoft/mode/2up" TargetMode="External" /><Relationship Type="http://schemas.openxmlformats.org/officeDocument/2006/relationships/hyperlink" Id="rId233" Target="https://doi.org/10.1002/(SICI)1099-1085(199903)13:4%3C563::AID-HYP711%3E3.0.CO;2-N" TargetMode="External" /><Relationship Type="http://schemas.openxmlformats.org/officeDocument/2006/relationships/hyperlink" Id="rId184" Target="https://doi.org/10.1002/2017WR021578" TargetMode="External" /><Relationship Type="http://schemas.openxmlformats.org/officeDocument/2006/relationships/hyperlink" Id="rId186" Target="https://doi.org/10.1002/j.1551-8833.1995.tb06299.x" TargetMode="External" /><Relationship Type="http://schemas.openxmlformats.org/officeDocument/2006/relationships/hyperlink" Id="rId256" Target="https://doi.org/10.1002/j.1551-8833.1995.tb06302.x" TargetMode="External" /><Relationship Type="http://schemas.openxmlformats.org/officeDocument/2006/relationships/hyperlink" Id="rId262" Target="https://doi.org/10.1002/j.1551-8833.2002.tb10250.x" TargetMode="External" /><Relationship Type="http://schemas.openxmlformats.org/officeDocument/2006/relationships/hyperlink" Id="rId274" Target="https://doi.org/10.1002/rra.1504" TargetMode="External" /><Relationship Type="http://schemas.openxmlformats.org/officeDocument/2006/relationships/hyperlink" Id="rId298" Target="https://doi.org/10.1002/wat2.1367" TargetMode="External" /><Relationship Type="http://schemas.openxmlformats.org/officeDocument/2006/relationships/hyperlink" Id="rId214" Target="https://doi.org/10.1007/978-94-007-1363-5" TargetMode="External" /><Relationship Type="http://schemas.openxmlformats.org/officeDocument/2006/relationships/hyperlink" Id="rId325" Target="https://doi.org/10.1007/s10533-008-9207-6" TargetMode="External" /><Relationship Type="http://schemas.openxmlformats.org/officeDocument/2006/relationships/hyperlink" Id="rId286" Target="https://doi.org/10.1007/s10533-015-0103-6" TargetMode="External" /><Relationship Type="http://schemas.openxmlformats.org/officeDocument/2006/relationships/hyperlink" Id="rId280" Target="https://doi.org/10.1007/s10533-018-0482-6" TargetMode="External" /><Relationship Type="http://schemas.openxmlformats.org/officeDocument/2006/relationships/hyperlink" Id="rId323" Target="https://doi.org/10.1007/s10533-019-00561-w" TargetMode="External" /><Relationship Type="http://schemas.openxmlformats.org/officeDocument/2006/relationships/hyperlink" Id="rId296" Target="https://doi.org/10.1007/s11270-013-1651-9" TargetMode="External" /><Relationship Type="http://schemas.openxmlformats.org/officeDocument/2006/relationships/hyperlink" Id="rId329" Target="https://doi.org/10.1007/s11356-015-4078-6" TargetMode="External" /><Relationship Type="http://schemas.openxmlformats.org/officeDocument/2006/relationships/hyperlink" Id="rId200" Target="https://doi.org/10.1007/s11749-016-0481-7" TargetMode="External" /><Relationship Type="http://schemas.openxmlformats.org/officeDocument/2006/relationships/hyperlink" Id="rId305" Target="https://doi.org/10.1007/sl0533-010-9416-7" TargetMode="External" /><Relationship Type="http://schemas.openxmlformats.org/officeDocument/2006/relationships/hyperlink" Id="rId222" Target="https://doi.org/10.1016/B978-0-12-382092-1.00019-1" TargetMode="External" /><Relationship Type="http://schemas.openxmlformats.org/officeDocument/2006/relationships/hyperlink" Id="rId300" Target="https://doi.org/10.1016/S0003-2670(96)00412-6" TargetMode="External" /><Relationship Type="http://schemas.openxmlformats.org/officeDocument/2006/relationships/hyperlink" Id="rId288" Target="https://doi.org/10.1016/j.advwatres.2015.09.026" TargetMode="External" /><Relationship Type="http://schemas.openxmlformats.org/officeDocument/2006/relationships/hyperlink" Id="rId276" Target="https://doi.org/10.1016/j.chemosphere.2011.01.018" TargetMode="External" /><Relationship Type="http://schemas.openxmlformats.org/officeDocument/2006/relationships/hyperlink" Id="rId278" Target="https://doi.org/10.1016/j.cis.2010.06.007" TargetMode="External" /><Relationship Type="http://schemas.openxmlformats.org/officeDocument/2006/relationships/hyperlink" Id="rId317" Target="https://doi.org/10.1016/j.jenvman.2007.03.001" TargetMode="External" /><Relationship Type="http://schemas.openxmlformats.org/officeDocument/2006/relationships/hyperlink" Id="rId270" Target="https://doi.org/10.1016/j.jhazmat.2014.02.009" TargetMode="External" /><Relationship Type="http://schemas.openxmlformats.org/officeDocument/2006/relationships/hyperlink" Id="rId190" Target="https://doi.org/10.1016/j.jhydrol.2014.05.060" TargetMode="External" /><Relationship Type="http://schemas.openxmlformats.org/officeDocument/2006/relationships/hyperlink" Id="rId309" Target="https://doi.org/10.1016/j.scitotenv.2016.09.113" TargetMode="External" /><Relationship Type="http://schemas.openxmlformats.org/officeDocument/2006/relationships/hyperlink" Id="rId230" Target="https://doi.org/10.1016/j.watres.2010.08.051" TargetMode="External" /><Relationship Type="http://schemas.openxmlformats.org/officeDocument/2006/relationships/hyperlink" Id="rId224" Target="https://doi.org/10.1016/j.watres.2016.08.031" TargetMode="External" /><Relationship Type="http://schemas.openxmlformats.org/officeDocument/2006/relationships/hyperlink" Id="rId198" Target="https://doi.org/10.1016/j.watres.2017.12.031" TargetMode="External" /><Relationship Type="http://schemas.openxmlformats.org/officeDocument/2006/relationships/hyperlink" Id="rId327" Target="https://doi.org/10.1021/es030360x" TargetMode="External" /><Relationship Type="http://schemas.openxmlformats.org/officeDocument/2006/relationships/hyperlink" Id="rId188" Target="https://doi.org/10.1021/es103992s" TargetMode="External" /><Relationship Type="http://schemas.openxmlformats.org/officeDocument/2006/relationships/hyperlink" Id="rId272" Target="https://doi.org/10.1023/A:1010933404324" TargetMode="External" /><Relationship Type="http://schemas.openxmlformats.org/officeDocument/2006/relationships/hyperlink" Id="rId254" Target="https://doi.org/10.1029/2005JG000082" TargetMode="External" /><Relationship Type="http://schemas.openxmlformats.org/officeDocument/2006/relationships/hyperlink" Id="rId264" Target="https://doi.org/10.1029/2005WR004362" TargetMode="External" /><Relationship Type="http://schemas.openxmlformats.org/officeDocument/2006/relationships/hyperlink" Id="rId192" Target="https://doi.org/10.1029/2007JG000674" TargetMode="External" /><Relationship Type="http://schemas.openxmlformats.org/officeDocument/2006/relationships/hyperlink" Id="rId331" Target="https://doi.org/10.1029/2018GL080005" TargetMode="External" /><Relationship Type="http://schemas.openxmlformats.org/officeDocument/2006/relationships/hyperlink" Id="rId235" Target="https://doi.org/10.1029/97WR01881" TargetMode="External" /><Relationship Type="http://schemas.openxmlformats.org/officeDocument/2006/relationships/hyperlink" Id="rId315" Target="https://doi.org/10.1037/a0016973" TargetMode="External" /><Relationship Type="http://schemas.openxmlformats.org/officeDocument/2006/relationships/hyperlink" Id="rId182" Target="https://doi.org/10.1111/ele.12897" TargetMode="External" /><Relationship Type="http://schemas.openxmlformats.org/officeDocument/2006/relationships/hyperlink" Id="rId311" Target="https://doi.org/10.1111/j.1365-2427.2011.02613.x" TargetMode="External" /><Relationship Type="http://schemas.openxmlformats.org/officeDocument/2006/relationships/hyperlink" Id="rId220" Target="https://doi.org/10.1139/cjfas-2014-0400" TargetMode="External" /><Relationship Type="http://schemas.openxmlformats.org/officeDocument/2006/relationships/hyperlink" Id="rId313" Target="https://doi.org/10.1186/1471-2105-9-307" TargetMode="External" /><Relationship Type="http://schemas.openxmlformats.org/officeDocument/2006/relationships/hyperlink" Id="rId202" Target="https://doi.org/10.1201/9780367816377-11" TargetMode="External" /><Relationship Type="http://schemas.openxmlformats.org/officeDocument/2006/relationships/hyperlink" Id="rId242" Target="https://doi.org/10.13031/2013.15662" TargetMode="External" /><Relationship Type="http://schemas.openxmlformats.org/officeDocument/2006/relationships/hyperlink" Id="rId284" Target="https://doi.org/10.14288/1.0387350" TargetMode="External" /><Relationship Type="http://schemas.openxmlformats.org/officeDocument/2006/relationships/hyperlink" Id="rId196" Target="https://doi.org/10.2105/SMWW.2882.113" TargetMode="External" /><Relationship Type="http://schemas.openxmlformats.org/officeDocument/2006/relationships/hyperlink" Id="rId212" Target="https://doi.org/10.2166/aqua.2008.064" TargetMode="External" /><Relationship Type="http://schemas.openxmlformats.org/officeDocument/2006/relationships/hyperlink" Id="rId239" Target="https://doi.org/10.3133/fs06700" TargetMode="External" /><Relationship Type="http://schemas.openxmlformats.org/officeDocument/2006/relationships/hyperlink" Id="rId319" Target="https://doi.org/10.3390" TargetMode="External" /><Relationship Type="http://schemas.openxmlformats.org/officeDocument/2006/relationships/hyperlink" Id="rId292" Target="https://doi.org/10.5194/bg-10-2315-2013" TargetMode="External" /><Relationship Type="http://schemas.openxmlformats.org/officeDocument/2006/relationships/hyperlink" Id="rId266" Target="https://doi.org/10.5194/bg-11-3043-2014" TargetMode="External" /><Relationship Type="http://schemas.openxmlformats.org/officeDocument/2006/relationships/hyperlink" Id="rId218" Target="https://doi.org/IWSS-297445977-5079" TargetMode="External" /><Relationship Type="http://schemas.openxmlformats.org/officeDocument/2006/relationships/hyperlink" Id="rId258" Target="https://doi.org/doi:10.1046/j.1365-2427.1997.d01-539.x" TargetMode="External" /><Relationship Type="http://schemas.openxmlformats.org/officeDocument/2006/relationships/hyperlink" Id="rId226" Target="https://pubs.er.usgs.gov/publication/sir20075282" TargetMode="External" /><Relationship Type="http://schemas.openxmlformats.org/officeDocument/2006/relationships/hyperlink" Id="rId207" Target="https://soilsofcanada.ca" TargetMode="External" /><Relationship Type="http://schemas.openxmlformats.org/officeDocument/2006/relationships/hyperlink" Id="rId244" Target="https://www.canada.ca/content/dam/hc-sc/documents/programs/consultation-organic-matter-drinking-water/NOM20190129-eng.pdf" TargetMode="External" /><Relationship Type="http://schemas.openxmlformats.org/officeDocument/2006/relationships/hyperlink" Id="rId246" Target="https://www.canada.ca/content/dam/hc-sc/migration/hc-sc/ewh-semt/alt%7B\_%7Dformats/pdf/pubs/water-eau/sum%7B\_%7Dguide-res%7B\_%7Drecom/summary-table-August-15-2019-eng.pdf" TargetMode="External" /><Relationship Type="http://schemas.openxmlformats.org/officeDocument/2006/relationships/hyperlink" Id="rId248" Target="https://www.canada.ca/en/health-canada/services/healthy-living/your-health/environment/drinking-water-chlorination.html" TargetMode="External" /><Relationship Type="http://schemas.openxmlformats.org/officeDocument/2006/relationships/hyperlink" Id="rId216" Target="https://www.crd.bc.ca/project/past-capital-projects-and-initiatives/water-supply-plan" TargetMode="External" /><Relationship Type="http://schemas.openxmlformats.org/officeDocument/2006/relationships/hyperlink" Id="rId209" Target="https://www.crd.bc.ca/service/public-tours/watershed-tours/facts-figures" TargetMode="External" /><Relationship Type="http://schemas.openxmlformats.org/officeDocument/2006/relationships/hyperlink" Id="rId30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0" Target="https://www.healthlinkbc.ca/healthlinkbc-files/drinking-water-chlorination" TargetMode="External" /><Relationship Type="http://schemas.openxmlformats.org/officeDocument/2006/relationships/hyperlink" Id="rId282" Target="https://www.jstor.org/stable/1937326" TargetMode="External" /><Relationship Type="http://schemas.openxmlformats.org/officeDocument/2006/relationships/hyperlink" Id="rId307" Target="https://www.jstor.org/stable/24702986" TargetMode="External" /><Relationship Type="http://schemas.openxmlformats.org/officeDocument/2006/relationships/hyperlink" Id="rId252" Target="https://www.jstor.org/stable/40058211" TargetMode="External" /><Relationship Type="http://schemas.openxmlformats.org/officeDocument/2006/relationships/hyperlink" Id="rId260" Target="https://www.jstor.org/stable/41311011" TargetMode="External" /><Relationship Type="http://schemas.openxmlformats.org/officeDocument/2006/relationships/hyperlink" Id="rId204"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90" Target="http://hdl.handle.net/1885/40940" TargetMode="External" /><Relationship Type="http://schemas.openxmlformats.org/officeDocument/2006/relationships/hyperlink" Id="rId228" Target="http://scholar.google.com/scholar?hl=en%7B\&amp;%7DbtnG=Search%7B\&amp;%7Dq=intitle:Running+Pure%7B\#%7D1" TargetMode="External" /><Relationship Type="http://schemas.openxmlformats.org/officeDocument/2006/relationships/hyperlink" Id="rId237" Target="http://sis.agr.gc.ca/cansis/soils/bc/soils.html" TargetMode="External" /><Relationship Type="http://schemas.openxmlformats.org/officeDocument/2006/relationships/hyperlink" Id="rId294" Target="http://www.jstor.com/stable/41295152" TargetMode="External" /><Relationship Type="http://schemas.openxmlformats.org/officeDocument/2006/relationships/hyperlink" Id="rId194" Target="http://www.standardmethods.org/" TargetMode="External" /><Relationship Type="http://schemas.openxmlformats.org/officeDocument/2006/relationships/hyperlink" Id="rId268" Target="https://archive.org/details/metaltransportre00lazeuoft/mode/2up" TargetMode="External" /><Relationship Type="http://schemas.openxmlformats.org/officeDocument/2006/relationships/hyperlink" Id="rId233" Target="https://doi.org/10.1002/(SICI)1099-1085(199903)13:4%3C563::AID-HYP711%3E3.0.CO;2-N" TargetMode="External" /><Relationship Type="http://schemas.openxmlformats.org/officeDocument/2006/relationships/hyperlink" Id="rId184" Target="https://doi.org/10.1002/2017WR021578" TargetMode="External" /><Relationship Type="http://schemas.openxmlformats.org/officeDocument/2006/relationships/hyperlink" Id="rId186" Target="https://doi.org/10.1002/j.1551-8833.1995.tb06299.x" TargetMode="External" /><Relationship Type="http://schemas.openxmlformats.org/officeDocument/2006/relationships/hyperlink" Id="rId256" Target="https://doi.org/10.1002/j.1551-8833.1995.tb06302.x" TargetMode="External" /><Relationship Type="http://schemas.openxmlformats.org/officeDocument/2006/relationships/hyperlink" Id="rId262" Target="https://doi.org/10.1002/j.1551-8833.2002.tb10250.x" TargetMode="External" /><Relationship Type="http://schemas.openxmlformats.org/officeDocument/2006/relationships/hyperlink" Id="rId274" Target="https://doi.org/10.1002/rra.1504" TargetMode="External" /><Relationship Type="http://schemas.openxmlformats.org/officeDocument/2006/relationships/hyperlink" Id="rId298" Target="https://doi.org/10.1002/wat2.1367" TargetMode="External" /><Relationship Type="http://schemas.openxmlformats.org/officeDocument/2006/relationships/hyperlink" Id="rId214" Target="https://doi.org/10.1007/978-94-007-1363-5" TargetMode="External" /><Relationship Type="http://schemas.openxmlformats.org/officeDocument/2006/relationships/hyperlink" Id="rId325" Target="https://doi.org/10.1007/s10533-008-9207-6" TargetMode="External" /><Relationship Type="http://schemas.openxmlformats.org/officeDocument/2006/relationships/hyperlink" Id="rId286" Target="https://doi.org/10.1007/s10533-015-0103-6" TargetMode="External" /><Relationship Type="http://schemas.openxmlformats.org/officeDocument/2006/relationships/hyperlink" Id="rId280" Target="https://doi.org/10.1007/s10533-018-0482-6" TargetMode="External" /><Relationship Type="http://schemas.openxmlformats.org/officeDocument/2006/relationships/hyperlink" Id="rId323" Target="https://doi.org/10.1007/s10533-019-00561-w" TargetMode="External" /><Relationship Type="http://schemas.openxmlformats.org/officeDocument/2006/relationships/hyperlink" Id="rId296" Target="https://doi.org/10.1007/s11270-013-1651-9" TargetMode="External" /><Relationship Type="http://schemas.openxmlformats.org/officeDocument/2006/relationships/hyperlink" Id="rId329" Target="https://doi.org/10.1007/s11356-015-4078-6" TargetMode="External" /><Relationship Type="http://schemas.openxmlformats.org/officeDocument/2006/relationships/hyperlink" Id="rId200" Target="https://doi.org/10.1007/s11749-016-0481-7" TargetMode="External" /><Relationship Type="http://schemas.openxmlformats.org/officeDocument/2006/relationships/hyperlink" Id="rId305" Target="https://doi.org/10.1007/sl0533-010-9416-7" TargetMode="External" /><Relationship Type="http://schemas.openxmlformats.org/officeDocument/2006/relationships/hyperlink" Id="rId222" Target="https://doi.org/10.1016/B978-0-12-382092-1.00019-1" TargetMode="External" /><Relationship Type="http://schemas.openxmlformats.org/officeDocument/2006/relationships/hyperlink" Id="rId300" Target="https://doi.org/10.1016/S0003-2670(96)00412-6" TargetMode="External" /><Relationship Type="http://schemas.openxmlformats.org/officeDocument/2006/relationships/hyperlink" Id="rId288" Target="https://doi.org/10.1016/j.advwatres.2015.09.026" TargetMode="External" /><Relationship Type="http://schemas.openxmlformats.org/officeDocument/2006/relationships/hyperlink" Id="rId276" Target="https://doi.org/10.1016/j.chemosphere.2011.01.018" TargetMode="External" /><Relationship Type="http://schemas.openxmlformats.org/officeDocument/2006/relationships/hyperlink" Id="rId278" Target="https://doi.org/10.1016/j.cis.2010.06.007" TargetMode="External" /><Relationship Type="http://schemas.openxmlformats.org/officeDocument/2006/relationships/hyperlink" Id="rId317" Target="https://doi.org/10.1016/j.jenvman.2007.03.001" TargetMode="External" /><Relationship Type="http://schemas.openxmlformats.org/officeDocument/2006/relationships/hyperlink" Id="rId270" Target="https://doi.org/10.1016/j.jhazmat.2014.02.009" TargetMode="External" /><Relationship Type="http://schemas.openxmlformats.org/officeDocument/2006/relationships/hyperlink" Id="rId190" Target="https://doi.org/10.1016/j.jhydrol.2014.05.060" TargetMode="External" /><Relationship Type="http://schemas.openxmlformats.org/officeDocument/2006/relationships/hyperlink" Id="rId309" Target="https://doi.org/10.1016/j.scitotenv.2016.09.113" TargetMode="External" /><Relationship Type="http://schemas.openxmlformats.org/officeDocument/2006/relationships/hyperlink" Id="rId230" Target="https://doi.org/10.1016/j.watres.2010.08.051" TargetMode="External" /><Relationship Type="http://schemas.openxmlformats.org/officeDocument/2006/relationships/hyperlink" Id="rId224" Target="https://doi.org/10.1016/j.watres.2016.08.031" TargetMode="External" /><Relationship Type="http://schemas.openxmlformats.org/officeDocument/2006/relationships/hyperlink" Id="rId198" Target="https://doi.org/10.1016/j.watres.2017.12.031" TargetMode="External" /><Relationship Type="http://schemas.openxmlformats.org/officeDocument/2006/relationships/hyperlink" Id="rId327" Target="https://doi.org/10.1021/es030360x" TargetMode="External" /><Relationship Type="http://schemas.openxmlformats.org/officeDocument/2006/relationships/hyperlink" Id="rId188" Target="https://doi.org/10.1021/es103992s" TargetMode="External" /><Relationship Type="http://schemas.openxmlformats.org/officeDocument/2006/relationships/hyperlink" Id="rId272" Target="https://doi.org/10.1023/A:1010933404324" TargetMode="External" /><Relationship Type="http://schemas.openxmlformats.org/officeDocument/2006/relationships/hyperlink" Id="rId254" Target="https://doi.org/10.1029/2005JG000082" TargetMode="External" /><Relationship Type="http://schemas.openxmlformats.org/officeDocument/2006/relationships/hyperlink" Id="rId264" Target="https://doi.org/10.1029/2005WR004362" TargetMode="External" /><Relationship Type="http://schemas.openxmlformats.org/officeDocument/2006/relationships/hyperlink" Id="rId192" Target="https://doi.org/10.1029/2007JG000674" TargetMode="External" /><Relationship Type="http://schemas.openxmlformats.org/officeDocument/2006/relationships/hyperlink" Id="rId331" Target="https://doi.org/10.1029/2018GL080005" TargetMode="External" /><Relationship Type="http://schemas.openxmlformats.org/officeDocument/2006/relationships/hyperlink" Id="rId235" Target="https://doi.org/10.1029/97WR01881" TargetMode="External" /><Relationship Type="http://schemas.openxmlformats.org/officeDocument/2006/relationships/hyperlink" Id="rId315" Target="https://doi.org/10.1037/a0016973" TargetMode="External" /><Relationship Type="http://schemas.openxmlformats.org/officeDocument/2006/relationships/hyperlink" Id="rId182" Target="https://doi.org/10.1111/ele.12897" TargetMode="External" /><Relationship Type="http://schemas.openxmlformats.org/officeDocument/2006/relationships/hyperlink" Id="rId311" Target="https://doi.org/10.1111/j.1365-2427.2011.02613.x" TargetMode="External" /><Relationship Type="http://schemas.openxmlformats.org/officeDocument/2006/relationships/hyperlink" Id="rId220" Target="https://doi.org/10.1139/cjfas-2014-0400" TargetMode="External" /><Relationship Type="http://schemas.openxmlformats.org/officeDocument/2006/relationships/hyperlink" Id="rId313" Target="https://doi.org/10.1186/1471-2105-9-307" TargetMode="External" /><Relationship Type="http://schemas.openxmlformats.org/officeDocument/2006/relationships/hyperlink" Id="rId202" Target="https://doi.org/10.1201/9780367816377-11" TargetMode="External" /><Relationship Type="http://schemas.openxmlformats.org/officeDocument/2006/relationships/hyperlink" Id="rId242" Target="https://doi.org/10.13031/2013.15662" TargetMode="External" /><Relationship Type="http://schemas.openxmlformats.org/officeDocument/2006/relationships/hyperlink" Id="rId284" Target="https://doi.org/10.14288/1.0387350" TargetMode="External" /><Relationship Type="http://schemas.openxmlformats.org/officeDocument/2006/relationships/hyperlink" Id="rId196" Target="https://doi.org/10.2105/SMWW.2882.113" TargetMode="External" /><Relationship Type="http://schemas.openxmlformats.org/officeDocument/2006/relationships/hyperlink" Id="rId212" Target="https://doi.org/10.2166/aqua.2008.064" TargetMode="External" /><Relationship Type="http://schemas.openxmlformats.org/officeDocument/2006/relationships/hyperlink" Id="rId239" Target="https://doi.org/10.3133/fs06700" TargetMode="External" /><Relationship Type="http://schemas.openxmlformats.org/officeDocument/2006/relationships/hyperlink" Id="rId319" Target="https://doi.org/10.3390" TargetMode="External" /><Relationship Type="http://schemas.openxmlformats.org/officeDocument/2006/relationships/hyperlink" Id="rId292" Target="https://doi.org/10.5194/bg-10-2315-2013" TargetMode="External" /><Relationship Type="http://schemas.openxmlformats.org/officeDocument/2006/relationships/hyperlink" Id="rId266" Target="https://doi.org/10.5194/bg-11-3043-2014" TargetMode="External" /><Relationship Type="http://schemas.openxmlformats.org/officeDocument/2006/relationships/hyperlink" Id="rId218" Target="https://doi.org/IWSS-297445977-5079" TargetMode="External" /><Relationship Type="http://schemas.openxmlformats.org/officeDocument/2006/relationships/hyperlink" Id="rId258" Target="https://doi.org/doi:10.1046/j.1365-2427.1997.d01-539.x" TargetMode="External" /><Relationship Type="http://schemas.openxmlformats.org/officeDocument/2006/relationships/hyperlink" Id="rId226" Target="https://pubs.er.usgs.gov/publication/sir20075282" TargetMode="External" /><Relationship Type="http://schemas.openxmlformats.org/officeDocument/2006/relationships/hyperlink" Id="rId207" Target="https://soilsofcanada.ca" TargetMode="External" /><Relationship Type="http://schemas.openxmlformats.org/officeDocument/2006/relationships/hyperlink" Id="rId244" Target="https://www.canada.ca/content/dam/hc-sc/documents/programs/consultation-organic-matter-drinking-water/NOM20190129-eng.pdf" TargetMode="External" /><Relationship Type="http://schemas.openxmlformats.org/officeDocument/2006/relationships/hyperlink" Id="rId246" Target="https://www.canada.ca/content/dam/hc-sc/migration/hc-sc/ewh-semt/alt%7B\_%7Dformats/pdf/pubs/water-eau/sum%7B\_%7Dguide-res%7B\_%7Drecom/summary-table-August-15-2019-eng.pdf" TargetMode="External" /><Relationship Type="http://schemas.openxmlformats.org/officeDocument/2006/relationships/hyperlink" Id="rId248" Target="https://www.canada.ca/en/health-canada/services/healthy-living/your-health/environment/drinking-water-chlorination.html" TargetMode="External" /><Relationship Type="http://schemas.openxmlformats.org/officeDocument/2006/relationships/hyperlink" Id="rId216" Target="https://www.crd.bc.ca/project/past-capital-projects-and-initiatives/water-supply-plan" TargetMode="External" /><Relationship Type="http://schemas.openxmlformats.org/officeDocument/2006/relationships/hyperlink" Id="rId209" Target="https://www.crd.bc.ca/service/public-tours/watershed-tours/facts-figures" TargetMode="External" /><Relationship Type="http://schemas.openxmlformats.org/officeDocument/2006/relationships/hyperlink" Id="rId30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0" Target="https://www.healthlinkbc.ca/healthlinkbc-files/drinking-water-chlorination" TargetMode="External" /><Relationship Type="http://schemas.openxmlformats.org/officeDocument/2006/relationships/hyperlink" Id="rId282" Target="https://www.jstor.org/stable/1937326" TargetMode="External" /><Relationship Type="http://schemas.openxmlformats.org/officeDocument/2006/relationships/hyperlink" Id="rId307" Target="https://www.jstor.org/stable/24702986" TargetMode="External" /><Relationship Type="http://schemas.openxmlformats.org/officeDocument/2006/relationships/hyperlink" Id="rId252" Target="https://www.jstor.org/stable/40058211" TargetMode="External" /><Relationship Type="http://schemas.openxmlformats.org/officeDocument/2006/relationships/hyperlink" Id="rId260" Target="https://www.jstor.org/stable/41311011" TargetMode="External" /><Relationship Type="http://schemas.openxmlformats.org/officeDocument/2006/relationships/hyperlink" Id="rId204"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the Leech River watershed, a second growth forested drinking water supply area on Vancouver Island, BC: an assessment of dissolved organic carbon and spectral properties</dc:title>
  <dc:creator>Hannah J. McSorley</dc:creator>
  <cp:keywords/>
  <dcterms:created xsi:type="dcterms:W3CDTF">2020-10-07T23:36:30Z</dcterms:created>
  <dcterms:modified xsi:type="dcterms:W3CDTF">2020-10-07T23:36:30Z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